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关于对辖区监管总仓开展规范化管理专项检查情况说明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方城县辖区没有集中监管仓。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我县辖区内所有冷链食品经营户，要求其采购进口冷链食品必须先入系统报备，报备的冷链食品必须入南阳集中监管仓经过集中消毒等措施、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赋码后方可出仓销售。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Tc3YTQzMTVlOTMxY2Y4NDIzNzIyZTIyNjJmNTAifQ=="/>
  </w:docVars>
  <w:rsids>
    <w:rsidRoot w:val="4EEC491D"/>
    <w:rsid w:val="13477178"/>
    <w:rsid w:val="4EEC491D"/>
    <w:rsid w:val="65F8742B"/>
    <w:rsid w:val="731E7FAE"/>
    <w:rsid w:val="796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11</TotalTime>
  <ScaleCrop>false</ScaleCrop>
  <LinksUpToDate>false</LinksUpToDate>
  <CharactersWithSpaces>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2022-12-18T04:36:00Z</dcterms:created>
  <dc:creator>qq931</dc:creator>
  <cp:lastModifiedBy>qq931</cp:lastModifiedBy>
  <dcterms:modified xsi:type="dcterms:W3CDTF">2022-12-18T04:47:57Z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E988923161224196835F4E5C0FE92DD0</vt:lpwstr>
  </property>
</Properties>
</file>