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分管战线工作开展情况及下步工作安排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县委常委、副县长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徐明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ascii="楷体_GB2312" w:hAnsi="楷体_GB2312" w:eastAsia="楷体_GB2312" w:cs="楷体_GB2312"/>
          <w:sz w:val="32"/>
          <w:szCs w:val="32"/>
        </w:rPr>
        <w:t>2021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>22</w:t>
      </w:r>
      <w:r>
        <w:rPr>
          <w:rFonts w:hint="eastAsia" w:ascii="楷体_GB2312" w:hAnsi="楷体_GB2312" w:eastAsia="楷体_GB2312" w:cs="楷体_GB2312"/>
          <w:sz w:val="32"/>
          <w:szCs w:val="32"/>
        </w:rPr>
        <w:t>日）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根据会议安排，现将分管战线工作开展情况及下步工作重点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一、工作开展情况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刚才，已经对今年以来经济运行情况进行了通报，总体来看，全县经济平稳运行，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其他重点工作均有序开展：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审计工作成效明显。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完成审计项目</w:t>
      </w:r>
      <w:r>
        <w:rPr>
          <w:rFonts w:ascii="仿宋_GB2312" w:hAnsi="仿宋_GB2312" w:eastAsia="仿宋_GB2312" w:cs="仿宋_GB2312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个，促进增收节支</w:t>
      </w:r>
      <w:r>
        <w:rPr>
          <w:rFonts w:ascii="仿宋_GB2312" w:hAnsi="仿宋_GB2312" w:eastAsia="仿宋_GB2312" w:cs="仿宋_GB2312"/>
          <w:sz w:val="32"/>
          <w:szCs w:val="32"/>
        </w:rPr>
        <w:t>0.34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亿元；投资审计</w:t>
      </w:r>
      <w:r>
        <w:rPr>
          <w:rFonts w:ascii="仿宋_GB2312" w:hAnsi="仿宋_GB2312" w:eastAsia="仿宋_GB2312" w:cs="仿宋_GB2312"/>
          <w:sz w:val="32"/>
          <w:szCs w:val="32"/>
        </w:rPr>
        <w:t>2.31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亿元，审减</w:t>
      </w:r>
      <w:r>
        <w:rPr>
          <w:rFonts w:ascii="仿宋_GB2312" w:hAnsi="仿宋_GB2312" w:eastAsia="仿宋_GB2312" w:cs="仿宋_GB2312"/>
          <w:sz w:val="32"/>
          <w:szCs w:val="32"/>
        </w:rPr>
        <w:t>0.49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亿元，提升了资金使用效率。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社会保障全面提升。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城镇新增就业、城镇失业人员再就业超额完成市定目标；失业保险、工伤保险完成市定目标的</w:t>
      </w:r>
      <w:r>
        <w:rPr>
          <w:rFonts w:ascii="仿宋_GB2312" w:hAnsi="仿宋_GB2312" w:eastAsia="仿宋_GB2312" w:cs="仿宋_GB2312"/>
          <w:sz w:val="32"/>
          <w:szCs w:val="32"/>
        </w:rPr>
        <w:t>99%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以上；城乡居民养老保险累计参保</w:t>
      </w:r>
      <w:r>
        <w:rPr>
          <w:rFonts w:ascii="仿宋_GB2312" w:hAnsi="仿宋_GB2312" w:eastAsia="仿宋_GB2312" w:cs="仿宋_GB2312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万人，完成市定目标任务的</w:t>
      </w:r>
      <w:r>
        <w:rPr>
          <w:rFonts w:ascii="仿宋_GB2312" w:hAnsi="仿宋_GB2312" w:eastAsia="仿宋_GB2312" w:cs="仿宋_GB2312"/>
          <w:sz w:val="32"/>
          <w:szCs w:val="32"/>
        </w:rPr>
        <w:t>94.19%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政务服务能力持续增强。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政务服务事项</w:t>
      </w:r>
      <w:r>
        <w:rPr>
          <w:rFonts w:ascii="仿宋_GB2312" w:hAnsi="仿宋_GB2312" w:eastAsia="仿宋_GB2312" w:cs="仿宋_GB2312"/>
          <w:sz w:val="32"/>
          <w:szCs w:val="32"/>
        </w:rPr>
        <w:t>1843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项，其中，一网通办事项占</w:t>
      </w:r>
      <w:r>
        <w:rPr>
          <w:rFonts w:ascii="仿宋_GB2312" w:hAnsi="仿宋_GB2312" w:eastAsia="仿宋_GB2312" w:cs="仿宋_GB2312"/>
          <w:sz w:val="32"/>
          <w:szCs w:val="32"/>
        </w:rPr>
        <w:t>99.3%</w:t>
      </w:r>
      <w:r>
        <w:rPr>
          <w:rFonts w:hint="eastAsia" w:ascii="仿宋_GB2312" w:hAnsi="仿宋_GB2312" w:eastAsia="仿宋_GB2312" w:cs="仿宋_GB2312"/>
          <w:sz w:val="32"/>
          <w:szCs w:val="32"/>
        </w:rPr>
        <w:t>，“最多跑一次”事项占</w:t>
      </w:r>
      <w:r>
        <w:rPr>
          <w:rFonts w:ascii="仿宋_GB2312" w:hAnsi="仿宋_GB2312" w:eastAsia="仿宋_GB2312" w:cs="仿宋_GB2312"/>
          <w:sz w:val="32"/>
          <w:szCs w:val="32"/>
        </w:rPr>
        <w:t>95%</w:t>
      </w:r>
      <w:r>
        <w:rPr>
          <w:rFonts w:hint="eastAsia" w:ascii="仿宋_GB2312" w:hAnsi="仿宋_GB2312" w:eastAsia="仿宋_GB2312" w:cs="仿宋_GB2312"/>
          <w:sz w:val="32"/>
          <w:szCs w:val="32"/>
        </w:rPr>
        <w:t>，超过</w:t>
      </w:r>
      <w:r>
        <w:rPr>
          <w:rFonts w:ascii="仿宋_GB2312" w:hAnsi="仿宋_GB2312" w:eastAsia="仿宋_GB2312" w:cs="仿宋_GB2312"/>
          <w:sz w:val="32"/>
          <w:szCs w:val="32"/>
        </w:rPr>
        <w:t>80%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的事项实现“一窗”分类受理，网上咨询、投诉、建议按期回复率</w:t>
      </w:r>
      <w:r>
        <w:rPr>
          <w:rFonts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个别经济指标有所回落，其中，规上工业增加值、社会消费品零售总额、工业用电量增速较上半年分别下降</w:t>
      </w:r>
      <w:r>
        <w:rPr>
          <w:rFonts w:ascii="仿宋_GB2312" w:hAnsi="仿宋_GB2312" w:eastAsia="仿宋_GB2312" w:cs="仿宋_GB2312"/>
          <w:sz w:val="32"/>
          <w:szCs w:val="32"/>
        </w:rPr>
        <w:t>3.5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4.8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个百分点。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收入质量不优，一般公共预算收入增速低于全市平均水平</w:t>
      </w:r>
      <w:r>
        <w:rPr>
          <w:rFonts w:ascii="仿宋_GB2312" w:hAnsi="仿宋_GB2312" w:eastAsia="仿宋_GB2312" w:cs="仿宋_GB2312"/>
          <w:sz w:val="32"/>
          <w:szCs w:val="32"/>
        </w:rPr>
        <w:t>6.7</w:t>
      </w:r>
      <w:r>
        <w:rPr>
          <w:rFonts w:hint="eastAsia" w:ascii="仿宋_GB2312" w:hAnsi="仿宋_GB2312" w:eastAsia="仿宋_GB2312" w:cs="仿宋_GB2312"/>
          <w:sz w:val="32"/>
          <w:szCs w:val="32"/>
        </w:rPr>
        <w:t>个百分点，处于全市倒数位次；税收完成</w:t>
      </w:r>
      <w:r>
        <w:rPr>
          <w:rFonts w:ascii="仿宋_GB2312" w:hAnsi="仿宋_GB2312" w:eastAsia="仿宋_GB2312" w:cs="仿宋_GB2312"/>
          <w:sz w:val="32"/>
          <w:szCs w:val="32"/>
        </w:rPr>
        <w:t>4.45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亿元，占年度预算的</w:t>
      </w:r>
      <w:r>
        <w:rPr>
          <w:rFonts w:ascii="仿宋_GB2312" w:hAnsi="仿宋_GB2312" w:eastAsia="仿宋_GB2312" w:cs="仿宋_GB2312"/>
          <w:sz w:val="32"/>
          <w:szCs w:val="32"/>
        </w:rPr>
        <w:t>58.7%</w:t>
      </w:r>
      <w:r>
        <w:rPr>
          <w:rFonts w:hint="eastAsia" w:ascii="仿宋_GB2312" w:hAnsi="仿宋_GB2312" w:eastAsia="仿宋_GB2312" w:cs="仿宋_GB2312"/>
          <w:sz w:val="32"/>
          <w:szCs w:val="32"/>
        </w:rPr>
        <w:t>，距离年度目标差距较大。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项目个头小，新增“四上”企业仅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家，其中工业企业仅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家，缺乏投资大、效益好、带动强的优质项目。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三、下步工作重点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（一）强化经济运行调度。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重点经济指标周分析、周研判、周调度，特别是对规上工业增加值、社会消费品零售总额、用电量等落后指标，要找准问题症结，强化支撑要素，迅速摆脱被动局面。同时，统计部门牵头，对照“十四五”主要发展指标调整情况，对各项指标逐项分解，建立工作台账，任务量化到月、明确到单位、具体到责任人，确保“十四五”期间各项指标健康运行、达到预期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（二）加大财税征管力度。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综合治税领导小组牵头，尽快制定月税收计划，挖掘税收潜力，严格依法征管，9至12月份力争每月税收突破8500万元、一般公共预算收入达到亿元以上。要关注重点税种，严格资源税征收，县矿产品资源税征管办公室牵头，所属乡镇和相关部门要主动配合，本周内检查站点设置、人员配备全部到位，坚决防止跑冒滴漏；加快车船信息登记进度，各乡镇（街道）、各单位本周要全部完成信息登记上报，并迅速启动车船税征缴工作；加大耕地占用税征收力度，各乡镇（街道）要进一步摸清底子，税务、自然资源等部门要通力协作，9月底前征收任务大头落地；要强化房地产和重大项目等税源管理，确保依法依规、应收尽收、颗粒归仓。同时，重点围绕乡村振兴、物流业、民生工程等领域，做好专项债谋划申报工作；要用足用活上级政策，加强项目深度谋划包装，争取农发行、国开行等政策性资金；积极引进跨境电商、建筑业、物流业等为重点的总部经济，培育壮大财源。需要特别提请各乡镇（街道）注意的是：各乡镇（街道）要依照有关法律法规，积极培育、挖掘本辖区税源，增加税收，增强财力，坚决杜绝采取不正当手段，挖取本应属于县级收取的税收的行为。一旦发现，截留部分不予纳入乡镇（街道）税收总量，年底统算时全部予以划转，并对相关乡镇（街道）主要负责同志给予严肃批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（三）强力推进项目建设。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持续加强与省市行业主管部门对接力度，争取更多项目纳入省“十四五”专项规划。要加快项目推进，发改委牵头，对</w:t>
      </w:r>
      <w:r>
        <w:rPr>
          <w:rFonts w:ascii="仿宋_GB2312" w:hAnsi="仿宋_GB2312" w:eastAsia="仿宋_GB2312" w:cs="仿宋_GB2312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sz w:val="32"/>
          <w:szCs w:val="32"/>
        </w:rPr>
        <w:t>个市定绩效考评项目、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个省市重点项目等，逐项明确责任主体、时序要求、项目进度等要素，实行台账化管理、清单式推进，对项目进展情况一周一通报，确保项目早落地、早开工、早投产、早达效。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（四）持续优化营商环境。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深入落实《河南省营商环境条例》，健全完善重大项目协调推进、动态跟踪、过程督导、定期研判机制，落实“</w:t>
      </w:r>
      <w:r>
        <w:rPr>
          <w:rFonts w:ascii="仿宋_GB2312" w:hAnsi="仿宋_GB2312" w:eastAsia="仿宋_GB2312" w:cs="仿宋_GB2312"/>
          <w:sz w:val="32"/>
          <w:szCs w:val="32"/>
        </w:rPr>
        <w:t>13710</w:t>
      </w:r>
      <w:r>
        <w:rPr>
          <w:rFonts w:hint="eastAsia" w:ascii="仿宋_GB2312" w:hAnsi="仿宋_GB2312" w:eastAsia="仿宋_GB2312" w:cs="仿宋_GB2312"/>
          <w:sz w:val="32"/>
          <w:szCs w:val="32"/>
        </w:rPr>
        <w:t>”工作制度、“五快一提”机制，扎实开展“万人助万企”“首席服务员”“银行访千企”“金融支持就业创业”等活动，强化政银企对接，助力企业做大做强，确保三季度和年度营商环境评价位次前移，力争迈入全市第一方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（五）推进农信社改制工作。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改制数据如期达标的工作要求，各乡镇（街道）、各单位要强化举措，持续加大清欠力度，特别是对党员干部、公职人员拖欠贷款拒不偿还的，纪委监委要依纪依法给予组织处理和党政纪处分；对一般自然人拖欠贷款拒不偿还的，一律移交法院强制执行；涉及个贷公用、公贷公用未偿还的，按照县委常委会议研究意见，直接从乡镇（街道）账户划转，确保按照时间节点完成清欠任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（六）不断健全社会保障。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持续做好稳就业保就业工作，确保零就业家庭动态清零。扩大城乡居民养老保险覆盖面，推进多层次可持续社保体系建设。加强劳动保障监察，严厉打击恶意欠薪行为，维护劳动者合法权益。</w:t>
      </w:r>
    </w:p>
    <w:sectPr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tabs>
        <w:tab w:val="left" w:pos="3882"/>
        <w:tab w:val="clear" w:pos="41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0666EA6"/>
    <w:rsid w:val="00014F37"/>
    <w:rsid w:val="000567CE"/>
    <w:rsid w:val="00586902"/>
    <w:rsid w:val="00643265"/>
    <w:rsid w:val="00744AEB"/>
    <w:rsid w:val="00891FB3"/>
    <w:rsid w:val="008D3AFB"/>
    <w:rsid w:val="00A973D6"/>
    <w:rsid w:val="00AF73C2"/>
    <w:rsid w:val="00C64E33"/>
    <w:rsid w:val="00DE50A2"/>
    <w:rsid w:val="015137BB"/>
    <w:rsid w:val="02730CDD"/>
    <w:rsid w:val="02A27645"/>
    <w:rsid w:val="02DD611E"/>
    <w:rsid w:val="037576B9"/>
    <w:rsid w:val="043110E4"/>
    <w:rsid w:val="048F507E"/>
    <w:rsid w:val="053D7FEC"/>
    <w:rsid w:val="05D535CA"/>
    <w:rsid w:val="06DE2DD6"/>
    <w:rsid w:val="084E722D"/>
    <w:rsid w:val="0AE97271"/>
    <w:rsid w:val="0D2C415E"/>
    <w:rsid w:val="11E701CD"/>
    <w:rsid w:val="12EE053A"/>
    <w:rsid w:val="139724DC"/>
    <w:rsid w:val="13AE26E2"/>
    <w:rsid w:val="14AA2A13"/>
    <w:rsid w:val="14CE6B24"/>
    <w:rsid w:val="162D2E65"/>
    <w:rsid w:val="167A781B"/>
    <w:rsid w:val="176A51F7"/>
    <w:rsid w:val="177C5744"/>
    <w:rsid w:val="17FD149F"/>
    <w:rsid w:val="18283C48"/>
    <w:rsid w:val="18E24C39"/>
    <w:rsid w:val="199957F5"/>
    <w:rsid w:val="1A0759BF"/>
    <w:rsid w:val="1A30431C"/>
    <w:rsid w:val="1AFD6212"/>
    <w:rsid w:val="1C9A6444"/>
    <w:rsid w:val="1D252D4D"/>
    <w:rsid w:val="1FD834D8"/>
    <w:rsid w:val="20834296"/>
    <w:rsid w:val="21170AC7"/>
    <w:rsid w:val="214347A0"/>
    <w:rsid w:val="232670AC"/>
    <w:rsid w:val="24A224EE"/>
    <w:rsid w:val="25417510"/>
    <w:rsid w:val="26DA5C7C"/>
    <w:rsid w:val="27883BA5"/>
    <w:rsid w:val="28B41D1D"/>
    <w:rsid w:val="299E3E4A"/>
    <w:rsid w:val="2A2E029D"/>
    <w:rsid w:val="2A4F662D"/>
    <w:rsid w:val="2AA0488B"/>
    <w:rsid w:val="2AD175C0"/>
    <w:rsid w:val="2BCB00F4"/>
    <w:rsid w:val="2C1E3A36"/>
    <w:rsid w:val="2CEE6CC2"/>
    <w:rsid w:val="2DF64D2C"/>
    <w:rsid w:val="2DFB7200"/>
    <w:rsid w:val="2F8473E0"/>
    <w:rsid w:val="30CD55CE"/>
    <w:rsid w:val="32544674"/>
    <w:rsid w:val="32CF1F49"/>
    <w:rsid w:val="333A1A38"/>
    <w:rsid w:val="340C65FF"/>
    <w:rsid w:val="34335AD8"/>
    <w:rsid w:val="353244B1"/>
    <w:rsid w:val="38AF77DE"/>
    <w:rsid w:val="398D7AFC"/>
    <w:rsid w:val="3ABA6F29"/>
    <w:rsid w:val="3D0516F3"/>
    <w:rsid w:val="3D4C4271"/>
    <w:rsid w:val="3DA3365B"/>
    <w:rsid w:val="3DBA61E4"/>
    <w:rsid w:val="3F1510B7"/>
    <w:rsid w:val="3F163F73"/>
    <w:rsid w:val="3F8E72C4"/>
    <w:rsid w:val="412B7CCC"/>
    <w:rsid w:val="41DC2723"/>
    <w:rsid w:val="43BB5294"/>
    <w:rsid w:val="44D83F1C"/>
    <w:rsid w:val="452252B1"/>
    <w:rsid w:val="453F4C04"/>
    <w:rsid w:val="46D6050B"/>
    <w:rsid w:val="47652002"/>
    <w:rsid w:val="49A14359"/>
    <w:rsid w:val="4A840963"/>
    <w:rsid w:val="4B41115A"/>
    <w:rsid w:val="4C0A34CE"/>
    <w:rsid w:val="4C2C7897"/>
    <w:rsid w:val="4C3A3A67"/>
    <w:rsid w:val="4C990C77"/>
    <w:rsid w:val="4D8A2BC2"/>
    <w:rsid w:val="4E084338"/>
    <w:rsid w:val="4FE03A14"/>
    <w:rsid w:val="4FF24113"/>
    <w:rsid w:val="50A2441A"/>
    <w:rsid w:val="52B33332"/>
    <w:rsid w:val="52D538AA"/>
    <w:rsid w:val="5313152D"/>
    <w:rsid w:val="54310D0C"/>
    <w:rsid w:val="555D1A12"/>
    <w:rsid w:val="56382A85"/>
    <w:rsid w:val="56A448D9"/>
    <w:rsid w:val="579610F2"/>
    <w:rsid w:val="57FE2B69"/>
    <w:rsid w:val="58344F6E"/>
    <w:rsid w:val="58B14145"/>
    <w:rsid w:val="59291701"/>
    <w:rsid w:val="5AE7364F"/>
    <w:rsid w:val="5B6A4C45"/>
    <w:rsid w:val="5BAE36B3"/>
    <w:rsid w:val="5CE9292E"/>
    <w:rsid w:val="5D5B6285"/>
    <w:rsid w:val="5D5C37E8"/>
    <w:rsid w:val="5D830A99"/>
    <w:rsid w:val="5DFB763C"/>
    <w:rsid w:val="60666EA6"/>
    <w:rsid w:val="62477230"/>
    <w:rsid w:val="625D3BDC"/>
    <w:rsid w:val="63440462"/>
    <w:rsid w:val="6515185F"/>
    <w:rsid w:val="65884CD2"/>
    <w:rsid w:val="65F64A3C"/>
    <w:rsid w:val="678B7BFD"/>
    <w:rsid w:val="67AB4AC3"/>
    <w:rsid w:val="69837D6A"/>
    <w:rsid w:val="6B720FD8"/>
    <w:rsid w:val="6BB3480D"/>
    <w:rsid w:val="6BBD0925"/>
    <w:rsid w:val="6D491E5E"/>
    <w:rsid w:val="6D9724D8"/>
    <w:rsid w:val="6FA95BEF"/>
    <w:rsid w:val="714448DF"/>
    <w:rsid w:val="715941F8"/>
    <w:rsid w:val="718C6FCE"/>
    <w:rsid w:val="768A6302"/>
    <w:rsid w:val="79CB50A4"/>
    <w:rsid w:val="79E57808"/>
    <w:rsid w:val="7AF3185B"/>
    <w:rsid w:val="7AF57FF1"/>
    <w:rsid w:val="7D152CBB"/>
    <w:rsid w:val="7D5A633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nhideWhenUsed="0" w:uiPriority="99" w:semiHidden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link w:val="12"/>
    <w:uiPriority w:val="99"/>
    <w:rPr>
      <w:rFonts w:ascii="宋体" w:hAnsi="宋体" w:cs="宋体"/>
      <w:sz w:val="28"/>
      <w:szCs w:val="28"/>
      <w:lang w:val="zh-CN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link w:val="15"/>
    <w:uiPriority w:val="99"/>
    <w:pPr>
      <w:snapToGrid w:val="0"/>
      <w:jc w:val="left"/>
    </w:pPr>
  </w:style>
  <w:style w:type="character" w:styleId="8">
    <w:name w:val="page number"/>
    <w:basedOn w:val="7"/>
    <w:uiPriority w:val="99"/>
    <w:rPr>
      <w:rFonts w:cs="Times New Roman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1">
    <w:name w:val="Heading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Body Text Char"/>
    <w:basedOn w:val="7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3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Footnote Text Char"/>
    <w:basedOn w:val="7"/>
    <w:link w:val="6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279</Words>
  <Characters>1591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2021-08-29T10:18:00Z</dcterms:created>
  <dc:creator>a</dc:creator>
  <cp:lastModifiedBy>Administrator</cp:lastModifiedBy>
  <cp:lastPrinted>2021-09-21T13:25:00Z</cp:lastPrinted>
  <dcterms:modified xsi:type="dcterms:W3CDTF">2021-09-21T23:43:41Z</dcterms:modified>
  <dc:title>分管战线工作开展情况及下步工作安排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97A5DC783EFC409BB200C37366FB7F70</vt:lpwstr>
  </property>
</Properties>
</file>