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A2" w:rsidRDefault="00DE50A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分管战线工作开展情况及下步工作安排</w:t>
      </w:r>
    </w:p>
    <w:p w:rsidR="00DE50A2" w:rsidRDefault="00DE50A2">
      <w:pPr>
        <w:spacing w:line="56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县委常委、副县长</w:t>
      </w:r>
      <w:r>
        <w:rPr>
          <w:rFonts w:ascii="楷体_GB2312" w:eastAsia="楷体_GB2312" w:hAnsi="楷体_GB2312" w:cs="楷体_GB2312"/>
          <w:sz w:val="32"/>
          <w:szCs w:val="32"/>
        </w:rPr>
        <w:t xml:space="preserve">  </w:t>
      </w:r>
      <w:r>
        <w:rPr>
          <w:rFonts w:ascii="楷体_GB2312" w:eastAsia="楷体_GB2312" w:hAnsi="楷体_GB2312" w:cs="楷体_GB2312" w:hint="eastAsia"/>
          <w:sz w:val="32"/>
          <w:szCs w:val="32"/>
        </w:rPr>
        <w:t>徐明</w:t>
      </w:r>
    </w:p>
    <w:p w:rsidR="00DE50A2" w:rsidRPr="008D3AFB" w:rsidRDefault="00DE50A2" w:rsidP="008D3AFB">
      <w:pPr>
        <w:spacing w:line="56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 w:rsidRPr="008D3AFB">
        <w:rPr>
          <w:rFonts w:ascii="楷体_GB2312" w:eastAsia="楷体_GB2312" w:hAnsi="楷体_GB2312" w:cs="楷体_GB2312" w:hint="eastAsia"/>
          <w:sz w:val="32"/>
          <w:szCs w:val="32"/>
        </w:rPr>
        <w:t>（</w:t>
      </w:r>
      <w:r w:rsidRPr="008D3AFB">
        <w:rPr>
          <w:rFonts w:ascii="楷体_GB2312" w:eastAsia="楷体_GB2312" w:hAnsi="楷体_GB2312" w:cs="楷体_GB2312"/>
          <w:sz w:val="32"/>
          <w:szCs w:val="32"/>
        </w:rPr>
        <w:t>2021</w:t>
      </w:r>
      <w:r w:rsidRPr="008D3AFB">
        <w:rPr>
          <w:rFonts w:ascii="楷体_GB2312" w:eastAsia="楷体_GB2312" w:hAnsi="楷体_GB2312" w:cs="楷体_GB2312" w:hint="eastAsia"/>
          <w:sz w:val="32"/>
          <w:szCs w:val="32"/>
        </w:rPr>
        <w:t>年</w:t>
      </w:r>
      <w:r w:rsidRPr="008D3AFB">
        <w:rPr>
          <w:rFonts w:ascii="楷体_GB2312" w:eastAsia="楷体_GB2312" w:hAnsi="楷体_GB2312" w:cs="楷体_GB2312"/>
          <w:sz w:val="32"/>
          <w:szCs w:val="32"/>
        </w:rPr>
        <w:t>9</w:t>
      </w:r>
      <w:r w:rsidRPr="008D3AFB">
        <w:rPr>
          <w:rFonts w:ascii="楷体_GB2312" w:eastAsia="楷体_GB2312" w:hAnsi="楷体_GB2312" w:cs="楷体_GB2312" w:hint="eastAsia"/>
          <w:sz w:val="32"/>
          <w:szCs w:val="32"/>
        </w:rPr>
        <w:t>月</w:t>
      </w:r>
      <w:r w:rsidRPr="008D3AFB">
        <w:rPr>
          <w:rFonts w:ascii="楷体_GB2312" w:eastAsia="楷体_GB2312" w:hAnsi="楷体_GB2312" w:cs="楷体_GB2312"/>
          <w:sz w:val="32"/>
          <w:szCs w:val="32"/>
        </w:rPr>
        <w:t>22</w:t>
      </w:r>
      <w:r w:rsidRPr="008D3AFB">
        <w:rPr>
          <w:rFonts w:ascii="楷体_GB2312" w:eastAsia="楷体_GB2312" w:hAnsi="楷体_GB2312" w:cs="楷体_GB2312" w:hint="eastAsia"/>
          <w:sz w:val="32"/>
          <w:szCs w:val="32"/>
        </w:rPr>
        <w:t>日）</w:t>
      </w:r>
    </w:p>
    <w:p w:rsidR="00DE50A2" w:rsidRDefault="00DE50A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E50A2" w:rsidRDefault="00DE50A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根据会议安排，现将分管战线工作开展情况及下步工作重点报告如下：</w:t>
      </w:r>
    </w:p>
    <w:p w:rsidR="00DE50A2" w:rsidRDefault="00DE50A2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一、工作开展情况</w:t>
      </w:r>
    </w:p>
    <w:p w:rsidR="00DE50A2" w:rsidRDefault="00DE50A2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一是经济指标平稳运行。</w:t>
      </w:r>
      <w:r>
        <w:rPr>
          <w:rFonts w:ascii="仿宋_GB2312" w:eastAsia="仿宋_GB2312" w:hAnsi="仿宋_GB2312" w:cs="仿宋_GB2312" w:hint="eastAsia"/>
          <w:sz w:val="32"/>
          <w:szCs w:val="32"/>
        </w:rPr>
        <w:t>地区生产总值、规上工业增加值、固定资产投资增速均居全市前列。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二是项目建设有力有效。</w:t>
      </w:r>
      <w:r>
        <w:rPr>
          <w:rFonts w:ascii="仿宋_GB2312" w:eastAsia="仿宋_GB2312" w:hAnsi="仿宋_GB2312" w:cs="仿宋_GB2312"/>
          <w:sz w:val="32"/>
          <w:szCs w:val="32"/>
        </w:rPr>
        <w:t>71</w:t>
      </w:r>
      <w:r>
        <w:rPr>
          <w:rFonts w:ascii="仿宋_GB2312" w:eastAsia="仿宋_GB2312" w:hAnsi="仿宋_GB2312" w:cs="仿宋_GB2312" w:hint="eastAsia"/>
          <w:sz w:val="32"/>
          <w:szCs w:val="32"/>
        </w:rPr>
        <w:t>个纳入全市绩效考评的</w:t>
      </w:r>
      <w:r>
        <w:rPr>
          <w:rFonts w:ascii="仿宋_GB2312" w:eastAsia="仿宋_GB2312" w:hAnsi="仿宋_GB2312" w:cs="仿宋_GB2312"/>
          <w:sz w:val="32"/>
          <w:szCs w:val="32"/>
        </w:rPr>
        <w:t>5000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万元以上固定资产投资项目完成年度投资计划的</w:t>
      </w:r>
      <w:r>
        <w:rPr>
          <w:rFonts w:ascii="仿宋_GB2312" w:eastAsia="仿宋_GB2312" w:hAnsi="仿宋_GB2312" w:cs="仿宋_GB2312"/>
          <w:sz w:val="32"/>
          <w:szCs w:val="32"/>
        </w:rPr>
        <w:t>98.3%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/>
          <w:sz w:val="32"/>
          <w:szCs w:val="32"/>
        </w:rPr>
        <w:t>18</w:t>
      </w:r>
      <w:r>
        <w:rPr>
          <w:rFonts w:ascii="仿宋_GB2312" w:eastAsia="仿宋_GB2312" w:hAnsi="仿宋_GB2312" w:cs="仿宋_GB2312" w:hint="eastAsia"/>
          <w:sz w:val="32"/>
          <w:szCs w:val="32"/>
        </w:rPr>
        <w:t>个省市重点项目完成年度投资计划的</w:t>
      </w:r>
      <w:r>
        <w:rPr>
          <w:rFonts w:ascii="仿宋_GB2312" w:eastAsia="仿宋_GB2312" w:hAnsi="仿宋_GB2312" w:cs="仿宋_GB2312"/>
          <w:sz w:val="32"/>
          <w:szCs w:val="32"/>
        </w:rPr>
        <w:t>83.5%</w:t>
      </w:r>
      <w:r>
        <w:rPr>
          <w:rFonts w:ascii="仿宋_GB2312" w:eastAsia="仿宋_GB2312" w:hAnsi="仿宋_GB2312" w:cs="仿宋_GB2312" w:hint="eastAsia"/>
          <w:sz w:val="32"/>
          <w:szCs w:val="32"/>
        </w:rPr>
        <w:t>。汉山水库等</w:t>
      </w:r>
      <w:r>
        <w:rPr>
          <w:rFonts w:ascii="仿宋_GB2312" w:eastAsia="仿宋_GB2312" w:hAnsi="仿宋_GB2312" w:cs="仿宋_GB2312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个项目初步纳入国家、省专项规划。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三是审计工作成效明显。</w:t>
      </w:r>
      <w:r>
        <w:rPr>
          <w:rFonts w:ascii="仿宋_GB2312" w:eastAsia="仿宋_GB2312" w:hAnsi="仿宋_GB2312" w:cs="仿宋_GB2312" w:hint="eastAsia"/>
          <w:sz w:val="32"/>
          <w:szCs w:val="32"/>
        </w:rPr>
        <w:t>完成审计项目</w:t>
      </w:r>
      <w:r>
        <w:rPr>
          <w:rFonts w:ascii="仿宋_GB2312" w:eastAsia="仿宋_GB2312" w:hAnsi="仿宋_GB2312" w:cs="仿宋_GB2312"/>
          <w:sz w:val="32"/>
          <w:szCs w:val="32"/>
        </w:rPr>
        <w:t>39</w:t>
      </w:r>
      <w:r>
        <w:rPr>
          <w:rFonts w:ascii="仿宋_GB2312" w:eastAsia="仿宋_GB2312" w:hAnsi="仿宋_GB2312" w:cs="仿宋_GB2312" w:hint="eastAsia"/>
          <w:sz w:val="32"/>
          <w:szCs w:val="32"/>
        </w:rPr>
        <w:t>个，促进增收节支</w:t>
      </w:r>
      <w:r>
        <w:rPr>
          <w:rFonts w:ascii="仿宋_GB2312" w:eastAsia="仿宋_GB2312" w:hAnsi="仿宋_GB2312" w:cs="仿宋_GB2312"/>
          <w:sz w:val="32"/>
          <w:szCs w:val="32"/>
        </w:rPr>
        <w:t>0.34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亿元；投资审计</w:t>
      </w:r>
      <w:r>
        <w:rPr>
          <w:rFonts w:ascii="仿宋_GB2312" w:eastAsia="仿宋_GB2312" w:hAnsi="仿宋_GB2312" w:cs="仿宋_GB2312"/>
          <w:sz w:val="32"/>
          <w:szCs w:val="32"/>
        </w:rPr>
        <w:t>2.31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亿元，审减</w:t>
      </w:r>
      <w:r>
        <w:rPr>
          <w:rFonts w:ascii="仿宋_GB2312" w:eastAsia="仿宋_GB2312" w:hAnsi="仿宋_GB2312" w:cs="仿宋_GB2312"/>
          <w:sz w:val="32"/>
          <w:szCs w:val="32"/>
        </w:rPr>
        <w:t>0.49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亿元，提升了资金使用效率。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四是社会保障全面提升。</w:t>
      </w:r>
      <w:r>
        <w:rPr>
          <w:rFonts w:ascii="仿宋_GB2312" w:eastAsia="仿宋_GB2312" w:hAnsi="仿宋_GB2312" w:cs="仿宋_GB2312" w:hint="eastAsia"/>
          <w:sz w:val="32"/>
          <w:szCs w:val="32"/>
        </w:rPr>
        <w:t>城镇新增就业、城镇失业人员再就业超额完成市定目标；失业保险、工伤保险完成市定目标的</w:t>
      </w:r>
      <w:r>
        <w:rPr>
          <w:rFonts w:ascii="仿宋_GB2312" w:eastAsia="仿宋_GB2312" w:hAnsi="仿宋_GB2312" w:cs="仿宋_GB2312"/>
          <w:sz w:val="32"/>
          <w:szCs w:val="32"/>
        </w:rPr>
        <w:t>99%</w:t>
      </w:r>
      <w:r>
        <w:rPr>
          <w:rFonts w:ascii="仿宋_GB2312" w:eastAsia="仿宋_GB2312" w:hAnsi="仿宋_GB2312" w:cs="仿宋_GB2312" w:hint="eastAsia"/>
          <w:sz w:val="32"/>
          <w:szCs w:val="32"/>
        </w:rPr>
        <w:t>以上；城乡居民养老保险累计参保</w:t>
      </w:r>
      <w:r>
        <w:rPr>
          <w:rFonts w:ascii="仿宋_GB2312" w:eastAsia="仿宋_GB2312" w:hAnsi="仿宋_GB2312" w:cs="仿宋_GB2312"/>
          <w:sz w:val="32"/>
          <w:szCs w:val="32"/>
        </w:rPr>
        <w:t>55</w:t>
      </w:r>
      <w:r>
        <w:rPr>
          <w:rFonts w:ascii="仿宋_GB2312" w:eastAsia="仿宋_GB2312" w:hAnsi="仿宋_GB2312" w:cs="仿宋_GB2312" w:hint="eastAsia"/>
          <w:sz w:val="32"/>
          <w:szCs w:val="32"/>
        </w:rPr>
        <w:t>万人，完成市定目标任务的</w:t>
      </w:r>
      <w:r>
        <w:rPr>
          <w:rFonts w:ascii="仿宋_GB2312" w:eastAsia="仿宋_GB2312" w:hAnsi="仿宋_GB2312" w:cs="仿宋_GB2312"/>
          <w:sz w:val="32"/>
          <w:szCs w:val="32"/>
        </w:rPr>
        <w:t>94.19%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五是政务服务能力持续增强。</w:t>
      </w:r>
      <w:r>
        <w:rPr>
          <w:rFonts w:ascii="仿宋_GB2312" w:eastAsia="仿宋_GB2312" w:hAnsi="仿宋_GB2312" w:cs="仿宋_GB2312" w:hint="eastAsia"/>
          <w:sz w:val="32"/>
          <w:szCs w:val="32"/>
        </w:rPr>
        <w:t>政务服务事项</w:t>
      </w:r>
      <w:r>
        <w:rPr>
          <w:rFonts w:ascii="仿宋_GB2312" w:eastAsia="仿宋_GB2312" w:hAnsi="仿宋_GB2312" w:cs="仿宋_GB2312"/>
          <w:sz w:val="32"/>
          <w:szCs w:val="32"/>
        </w:rPr>
        <w:t>1843</w:t>
      </w:r>
      <w:r>
        <w:rPr>
          <w:rFonts w:ascii="仿宋_GB2312" w:eastAsia="仿宋_GB2312" w:hAnsi="仿宋_GB2312" w:cs="仿宋_GB2312" w:hint="eastAsia"/>
          <w:sz w:val="32"/>
          <w:szCs w:val="32"/>
        </w:rPr>
        <w:t>项，其中，一网通办事项占</w:t>
      </w:r>
      <w:r>
        <w:rPr>
          <w:rFonts w:ascii="仿宋_GB2312" w:eastAsia="仿宋_GB2312" w:hAnsi="仿宋_GB2312" w:cs="仿宋_GB2312"/>
          <w:sz w:val="32"/>
          <w:szCs w:val="32"/>
        </w:rPr>
        <w:t>99.3%</w:t>
      </w:r>
      <w:r>
        <w:rPr>
          <w:rFonts w:ascii="仿宋_GB2312" w:eastAsia="仿宋_GB2312" w:hAnsi="仿宋_GB2312" w:cs="仿宋_GB2312" w:hint="eastAsia"/>
          <w:sz w:val="32"/>
          <w:szCs w:val="32"/>
        </w:rPr>
        <w:t>，“最多跑一次”事项占</w:t>
      </w:r>
      <w:r>
        <w:rPr>
          <w:rFonts w:ascii="仿宋_GB2312" w:eastAsia="仿宋_GB2312" w:hAnsi="仿宋_GB2312" w:cs="仿宋_GB2312"/>
          <w:sz w:val="32"/>
          <w:szCs w:val="32"/>
        </w:rPr>
        <w:t>95%</w:t>
      </w:r>
      <w:r>
        <w:rPr>
          <w:rFonts w:ascii="仿宋_GB2312" w:eastAsia="仿宋_GB2312" w:hAnsi="仿宋_GB2312" w:cs="仿宋_GB2312" w:hint="eastAsia"/>
          <w:sz w:val="32"/>
          <w:szCs w:val="32"/>
        </w:rPr>
        <w:t>，超过</w:t>
      </w:r>
      <w:r>
        <w:rPr>
          <w:rFonts w:ascii="仿宋_GB2312" w:eastAsia="仿宋_GB2312" w:hAnsi="仿宋_GB2312" w:cs="仿宋_GB2312"/>
          <w:sz w:val="32"/>
          <w:szCs w:val="32"/>
        </w:rPr>
        <w:t>80%</w:t>
      </w:r>
      <w:r>
        <w:rPr>
          <w:rFonts w:ascii="仿宋_GB2312" w:eastAsia="仿宋_GB2312" w:hAnsi="仿宋_GB2312" w:cs="仿宋_GB2312" w:hint="eastAsia"/>
          <w:sz w:val="32"/>
          <w:szCs w:val="32"/>
        </w:rPr>
        <w:t>的事项实现“一窗”分类受理，网上咨询、投诉、建议按期回复率</w:t>
      </w:r>
      <w:r>
        <w:rPr>
          <w:rFonts w:ascii="仿宋_GB2312" w:eastAsia="仿宋_GB2312" w:hAnsi="仿宋_GB2312" w:cs="仿宋_GB2312"/>
          <w:sz w:val="32"/>
          <w:szCs w:val="32"/>
        </w:rPr>
        <w:t>100%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E50A2" w:rsidRDefault="00DE50A2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二、存在问题</w:t>
      </w:r>
    </w:p>
    <w:p w:rsidR="00DE50A2" w:rsidRDefault="00DE50A2">
      <w:pPr>
        <w:spacing w:line="560" w:lineRule="exact"/>
        <w:ind w:firstLineChars="200" w:firstLine="643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一是</w:t>
      </w:r>
      <w:r>
        <w:rPr>
          <w:rFonts w:ascii="仿宋_GB2312" w:eastAsia="仿宋_GB2312" w:hAnsi="仿宋_GB2312" w:cs="仿宋_GB2312" w:hint="eastAsia"/>
          <w:sz w:val="32"/>
          <w:szCs w:val="32"/>
        </w:rPr>
        <w:t>个别经济指标有所回落，其中，规上工业增加值、社会消费品零售总额、工业用电量增速较上半年分别下降</w:t>
      </w:r>
      <w:r>
        <w:rPr>
          <w:rFonts w:ascii="仿宋_GB2312" w:eastAsia="仿宋_GB2312" w:hAnsi="仿宋_GB2312" w:cs="仿宋_GB2312"/>
          <w:sz w:val="32"/>
          <w:szCs w:val="32"/>
        </w:rPr>
        <w:t>3.5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4.8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个百分点。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二是</w:t>
      </w:r>
      <w:r>
        <w:rPr>
          <w:rFonts w:ascii="仿宋_GB2312" w:eastAsia="仿宋_GB2312" w:hAnsi="仿宋_GB2312" w:cs="仿宋_GB2312" w:hint="eastAsia"/>
          <w:sz w:val="32"/>
          <w:szCs w:val="32"/>
        </w:rPr>
        <w:t>收入质量不优，一般公共预算收入增速低于全市平均水平</w:t>
      </w:r>
      <w:r>
        <w:rPr>
          <w:rFonts w:ascii="仿宋_GB2312" w:eastAsia="仿宋_GB2312" w:hAnsi="仿宋_GB2312" w:cs="仿宋_GB2312"/>
          <w:sz w:val="32"/>
          <w:szCs w:val="32"/>
        </w:rPr>
        <w:t>6.7</w:t>
      </w:r>
      <w:r>
        <w:rPr>
          <w:rFonts w:ascii="仿宋_GB2312" w:eastAsia="仿宋_GB2312" w:hAnsi="仿宋_GB2312" w:cs="仿宋_GB2312" w:hint="eastAsia"/>
          <w:sz w:val="32"/>
          <w:szCs w:val="32"/>
        </w:rPr>
        <w:t>个百分点，处于全市倒数位次；税收完成</w:t>
      </w:r>
      <w:r>
        <w:rPr>
          <w:rFonts w:ascii="仿宋_GB2312" w:eastAsia="仿宋_GB2312" w:hAnsi="仿宋_GB2312" w:cs="仿宋_GB2312"/>
          <w:sz w:val="32"/>
          <w:szCs w:val="32"/>
        </w:rPr>
        <w:t>4.45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亿元，占年度预算的</w:t>
      </w:r>
      <w:r>
        <w:rPr>
          <w:rFonts w:ascii="仿宋_GB2312" w:eastAsia="仿宋_GB2312" w:hAnsi="仿宋_GB2312" w:cs="仿宋_GB2312"/>
          <w:sz w:val="32"/>
          <w:szCs w:val="32"/>
        </w:rPr>
        <w:t>58.7%</w:t>
      </w:r>
      <w:r>
        <w:rPr>
          <w:rFonts w:ascii="仿宋_GB2312" w:eastAsia="仿宋_GB2312" w:hAnsi="仿宋_GB2312" w:cs="仿宋_GB2312" w:hint="eastAsia"/>
          <w:sz w:val="32"/>
          <w:szCs w:val="32"/>
        </w:rPr>
        <w:t>，距离年度目标差距较大。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三是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项目个头小，新增“四上”企业仅</w:t>
      </w:r>
      <w:r>
        <w:rPr>
          <w:rFonts w:ascii="仿宋_GB2312" w:eastAsia="仿宋_GB2312" w:hAnsi="仿宋_GB2312" w:cs="仿宋_GB2312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sz w:val="32"/>
          <w:szCs w:val="32"/>
        </w:rPr>
        <w:t>家，其中工业企业仅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家，缺乏投资大、效益好、带动强的优质项目。</w:t>
      </w:r>
    </w:p>
    <w:p w:rsidR="00DE50A2" w:rsidRDefault="00DE50A2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三、下步工作重点</w:t>
      </w:r>
    </w:p>
    <w:p w:rsidR="00DE50A2" w:rsidRDefault="00DE50A2">
      <w:p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（一）强化经济运行调度。</w:t>
      </w:r>
      <w:r>
        <w:rPr>
          <w:rFonts w:ascii="仿宋_GB2312" w:eastAsia="仿宋_GB2312" w:hAnsi="仿宋_GB2312" w:cs="仿宋_GB2312" w:hint="eastAsia"/>
          <w:sz w:val="32"/>
          <w:szCs w:val="32"/>
        </w:rPr>
        <w:t>坚持重点经济指标周分析、周研判、周调度，特别是对规上工业增加值、社会消费品零售总额、用电量等落后指标，要找准问题症结，强化支撑要素，迅速摆脱被动局面。同时，统计部门牵头，对照“十四五”主要发展指标调整情况，对各项指标逐项分解，建立工作台账，任务量化到月、明确到单位、具体到责任人，确保“十四五”期间各项指标健康运行、达到预期。</w:t>
      </w:r>
    </w:p>
    <w:p w:rsidR="00DE50A2" w:rsidRDefault="00DE50A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（二）加大财税征管力度。</w:t>
      </w:r>
      <w:r>
        <w:rPr>
          <w:rFonts w:ascii="仿宋_GB2312" w:eastAsia="仿宋_GB2312" w:hAnsi="仿宋_GB2312" w:cs="仿宋_GB2312" w:hint="eastAsia"/>
          <w:sz w:val="32"/>
          <w:szCs w:val="32"/>
        </w:rPr>
        <w:t>县综合治税领导小组牵头，尽快制定月税收计划，挖掘税收潜力，严格依法征管，</w:t>
      </w:r>
      <w:r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至</w:t>
      </w:r>
      <w:r>
        <w:rPr>
          <w:rFonts w:ascii="仿宋_GB2312" w:eastAsia="仿宋_GB2312" w:hAnsi="仿宋_GB2312" w:cs="仿宋_GB2312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月份力争每月税收突破</w:t>
      </w:r>
      <w:r>
        <w:rPr>
          <w:rFonts w:ascii="仿宋_GB2312" w:eastAsia="仿宋_GB2312" w:hAnsi="仿宋_GB2312" w:cs="仿宋_GB2312"/>
          <w:sz w:val="32"/>
          <w:szCs w:val="32"/>
        </w:rPr>
        <w:t>8500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一般公共预算收入达到亿元以上。要关注重点税种，严格资源税征收，县矿产品资源税征管办公室牵头，所属乡镇和相关部门要主动配合，本周内检查站点设置、人员配备全部到位，坚决防止跑冒滴漏；加快车船信息登记进度，各乡镇（街道）、各单位本周要全部完成信息登记上报，并迅速启动车船税征缴工作；加大耕地占用税征收力度，各乡镇（街道）要进一步摸清底子，税务、自然资源等部门要通力协作，</w:t>
      </w:r>
      <w:r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月底前征收任务大头落地；要强化房地产和重大项目等税源管理，确保依法依规、应收尽收、颗粒归仓。同时，重点围绕乡村振兴、物流业等领域，做好专项债谋划申报工作；要用足用活上级政策，加强项目谋划包装，争取农发行、国开行等政策性资金；积极引进跨境电商、建筑业、物流业总部经济，培育壮大财源。</w:t>
      </w:r>
    </w:p>
    <w:p w:rsidR="00DE50A2" w:rsidRDefault="00DE50A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（三）强力推进项目建设。</w:t>
      </w:r>
      <w:r>
        <w:rPr>
          <w:rFonts w:ascii="仿宋_GB2312" w:eastAsia="仿宋_GB2312" w:hAnsi="仿宋_GB2312" w:cs="仿宋_GB2312" w:hint="eastAsia"/>
          <w:sz w:val="32"/>
          <w:szCs w:val="32"/>
        </w:rPr>
        <w:t>持续加强与省市行业主管部门对接力度，争取更多项目纳入省“十四五”专项规划。要加快项目推进，发改委牵头，对</w:t>
      </w:r>
      <w:r>
        <w:rPr>
          <w:rFonts w:ascii="仿宋_GB2312" w:eastAsia="仿宋_GB2312" w:hAnsi="仿宋_GB2312" w:cs="仿宋_GB2312"/>
          <w:sz w:val="32"/>
          <w:szCs w:val="32"/>
        </w:rPr>
        <w:t>71</w:t>
      </w:r>
      <w:r>
        <w:rPr>
          <w:rFonts w:ascii="仿宋_GB2312" w:eastAsia="仿宋_GB2312" w:hAnsi="仿宋_GB2312" w:cs="仿宋_GB2312" w:hint="eastAsia"/>
          <w:sz w:val="32"/>
          <w:szCs w:val="32"/>
        </w:rPr>
        <w:t>个市定绩效考评项目、</w:t>
      </w:r>
      <w:r>
        <w:rPr>
          <w:rFonts w:ascii="仿宋_GB2312" w:eastAsia="仿宋_GB2312" w:hAnsi="仿宋_GB2312" w:cs="仿宋_GB2312"/>
          <w:sz w:val="32"/>
          <w:szCs w:val="32"/>
        </w:rPr>
        <w:t>18</w:t>
      </w:r>
      <w:r>
        <w:rPr>
          <w:rFonts w:ascii="仿宋_GB2312" w:eastAsia="仿宋_GB2312" w:hAnsi="仿宋_GB2312" w:cs="仿宋_GB2312" w:hint="eastAsia"/>
          <w:sz w:val="32"/>
          <w:szCs w:val="32"/>
        </w:rPr>
        <w:t>个省市重点项目等，逐项明确责任主体、时序要求、项目进度等要素，实行台账化管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理、清单式推进，对项目进展情况一周一通报，确保项目早落地、早开工、早投产、早达效。</w:t>
      </w:r>
    </w:p>
    <w:p w:rsidR="00DE50A2" w:rsidRDefault="00DE50A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（四）持续优化营商环境。</w:t>
      </w:r>
      <w:r>
        <w:rPr>
          <w:rFonts w:ascii="仿宋_GB2312" w:eastAsia="仿宋_GB2312" w:hAnsi="仿宋_GB2312" w:cs="仿宋_GB2312" w:hint="eastAsia"/>
          <w:sz w:val="32"/>
          <w:szCs w:val="32"/>
        </w:rPr>
        <w:t>深入落实《河南省营商环境条例》，健全完善重大项目协调推进、动态跟踪、过程督导、定期研判机制，落实“</w:t>
      </w:r>
      <w:r>
        <w:rPr>
          <w:rFonts w:ascii="仿宋_GB2312" w:eastAsia="仿宋_GB2312" w:hAnsi="仿宋_GB2312" w:cs="仿宋_GB2312"/>
          <w:sz w:val="32"/>
          <w:szCs w:val="32"/>
        </w:rPr>
        <w:t>13710</w:t>
      </w:r>
      <w:r>
        <w:rPr>
          <w:rFonts w:ascii="仿宋_GB2312" w:eastAsia="仿宋_GB2312" w:hAnsi="仿宋_GB2312" w:cs="仿宋_GB2312" w:hint="eastAsia"/>
          <w:sz w:val="32"/>
          <w:szCs w:val="32"/>
        </w:rPr>
        <w:t>”工作制度、“五快一提”机制，扎实开展“万人助万企”“首席服务员”“银行访千企”“金融支持就业创业”等活动，强化政银企对接，助力企业做大做强，确保三季度和年度营商环境评价位次前移，力争迈入全市第一方阵。</w:t>
      </w:r>
    </w:p>
    <w:p w:rsidR="00DE50A2" w:rsidRDefault="00DE50A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（五）推进农信社改制工作。</w:t>
      </w:r>
      <w:r>
        <w:rPr>
          <w:rFonts w:ascii="仿宋_GB2312" w:eastAsia="仿宋_GB2312" w:hAnsi="仿宋_GB2312" w:cs="仿宋_GB2312" w:hint="eastAsia"/>
          <w:sz w:val="32"/>
          <w:szCs w:val="32"/>
        </w:rPr>
        <w:t>按照</w:t>
      </w:r>
      <w:r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改制数据如期达标的工作要求，各乡镇（街道）、各单位要强化举措，持续加大清欠力度，特别是对党员干部、公职人员拖欠贷款拒不偿还的，纪委监委要依纪依法给予组织处理和党政纪处分；对一般自然人拖欠贷款拒不偿还的，一律移交法院强制执行；涉及个贷公用、公贷公用未偿还的，按照县委常委会议研究意见，直接从乡镇（街道）账户划转，确保按照时间节点完成清欠任务。</w:t>
      </w:r>
    </w:p>
    <w:p w:rsidR="00DE50A2" w:rsidRDefault="00DE50A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（六）不断健全社会保障。</w:t>
      </w:r>
      <w:r>
        <w:rPr>
          <w:rFonts w:ascii="仿宋_GB2312" w:eastAsia="仿宋_GB2312" w:hAnsi="仿宋_GB2312" w:cs="仿宋_GB2312" w:hint="eastAsia"/>
          <w:sz w:val="32"/>
          <w:szCs w:val="32"/>
        </w:rPr>
        <w:t>持续做好稳就业保就业工作，确保零就业家庭动态清零。扩大城乡居民养老保险覆盖面，推进多层次可持续社保体系建设。加强劳动保障监察，严厉打击恶意欠薪行为，维护劳动者合法权益。</w:t>
      </w:r>
    </w:p>
    <w:sectPr w:rsidR="00DE50A2" w:rsidSect="00744AEB">
      <w:footerReference w:type="even" r:id="rId6"/>
      <w:footerReference w:type="default" r:id="rId7"/>
      <w:pgSz w:w="11906" w:h="16838"/>
      <w:pgMar w:top="2098" w:right="1474" w:bottom="1984" w:left="1587" w:header="851" w:footer="1417" w:gutter="0"/>
      <w:pgNumType w:fmt="numberInDash" w:start="1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0A2" w:rsidRDefault="00DE50A2" w:rsidP="00014F37">
      <w:r>
        <w:separator/>
      </w:r>
    </w:p>
  </w:endnote>
  <w:endnote w:type="continuationSeparator" w:id="0">
    <w:p w:rsidR="00DE50A2" w:rsidRDefault="00DE50A2" w:rsidP="00014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A2" w:rsidRDefault="00DE50A2" w:rsidP="00A973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50A2" w:rsidRDefault="00DE50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A2" w:rsidRPr="00744AEB" w:rsidRDefault="00DE50A2" w:rsidP="00A973D6">
    <w:pPr>
      <w:pStyle w:val="Footer"/>
      <w:framePr w:wrap="around" w:vAnchor="text" w:hAnchor="margin" w:xAlign="center" w:y="1"/>
      <w:rPr>
        <w:rStyle w:val="PageNumber"/>
        <w:rFonts w:ascii="宋体"/>
        <w:sz w:val="28"/>
        <w:szCs w:val="28"/>
      </w:rPr>
    </w:pPr>
    <w:r w:rsidRPr="00744AEB">
      <w:rPr>
        <w:rStyle w:val="PageNumber"/>
        <w:rFonts w:ascii="宋体" w:hAnsi="宋体"/>
        <w:sz w:val="28"/>
        <w:szCs w:val="28"/>
      </w:rPr>
      <w:fldChar w:fldCharType="begin"/>
    </w:r>
    <w:r w:rsidRPr="00744AEB">
      <w:rPr>
        <w:rStyle w:val="PageNumber"/>
        <w:rFonts w:ascii="宋体" w:hAnsi="宋体"/>
        <w:sz w:val="28"/>
        <w:szCs w:val="28"/>
      </w:rPr>
      <w:instrText xml:space="preserve">PAGE  </w:instrText>
    </w:r>
    <w:r w:rsidRPr="00744AEB"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- 2 -</w:t>
    </w:r>
    <w:r w:rsidRPr="00744AEB">
      <w:rPr>
        <w:rStyle w:val="PageNumber"/>
        <w:rFonts w:ascii="宋体" w:hAnsi="宋体"/>
        <w:sz w:val="28"/>
        <w:szCs w:val="28"/>
      </w:rPr>
      <w:fldChar w:fldCharType="end"/>
    </w:r>
  </w:p>
  <w:p w:rsidR="00DE50A2" w:rsidRDefault="00DE50A2">
    <w:pPr>
      <w:pStyle w:val="Footer"/>
      <w:tabs>
        <w:tab w:val="clear" w:pos="4153"/>
        <w:tab w:val="left" w:pos="3882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0A2" w:rsidRDefault="00DE50A2" w:rsidP="00014F37">
      <w:r>
        <w:separator/>
      </w:r>
    </w:p>
  </w:footnote>
  <w:footnote w:type="continuationSeparator" w:id="0">
    <w:p w:rsidR="00DE50A2" w:rsidRDefault="00DE50A2" w:rsidP="00014F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0666EA6"/>
    <w:rsid w:val="00014F37"/>
    <w:rsid w:val="000567CE"/>
    <w:rsid w:val="00586902"/>
    <w:rsid w:val="00643265"/>
    <w:rsid w:val="00744AEB"/>
    <w:rsid w:val="00891FB3"/>
    <w:rsid w:val="008D3AFB"/>
    <w:rsid w:val="00A973D6"/>
    <w:rsid w:val="00AF73C2"/>
    <w:rsid w:val="00C64E33"/>
    <w:rsid w:val="00DE50A2"/>
    <w:rsid w:val="015137BB"/>
    <w:rsid w:val="02730CDD"/>
    <w:rsid w:val="02A27645"/>
    <w:rsid w:val="02DD611E"/>
    <w:rsid w:val="043110E4"/>
    <w:rsid w:val="048F507E"/>
    <w:rsid w:val="05D535CA"/>
    <w:rsid w:val="06DE2DD6"/>
    <w:rsid w:val="084E722D"/>
    <w:rsid w:val="0AE97271"/>
    <w:rsid w:val="0D2C415E"/>
    <w:rsid w:val="11E701CD"/>
    <w:rsid w:val="139724DC"/>
    <w:rsid w:val="13AE26E2"/>
    <w:rsid w:val="14AA2A13"/>
    <w:rsid w:val="14CE6B24"/>
    <w:rsid w:val="162D2E65"/>
    <w:rsid w:val="167A781B"/>
    <w:rsid w:val="177C5744"/>
    <w:rsid w:val="17FD149F"/>
    <w:rsid w:val="18283C48"/>
    <w:rsid w:val="199957F5"/>
    <w:rsid w:val="1A0759BF"/>
    <w:rsid w:val="1A30431C"/>
    <w:rsid w:val="1AFD6212"/>
    <w:rsid w:val="1C9A6444"/>
    <w:rsid w:val="1D252D4D"/>
    <w:rsid w:val="1FD834D8"/>
    <w:rsid w:val="20834296"/>
    <w:rsid w:val="21170AC7"/>
    <w:rsid w:val="214347A0"/>
    <w:rsid w:val="232670AC"/>
    <w:rsid w:val="24A224EE"/>
    <w:rsid w:val="25417510"/>
    <w:rsid w:val="26DA5C7C"/>
    <w:rsid w:val="27883BA5"/>
    <w:rsid w:val="28B41D1D"/>
    <w:rsid w:val="299E3E4A"/>
    <w:rsid w:val="2A2E029D"/>
    <w:rsid w:val="2AA0488B"/>
    <w:rsid w:val="2AD175C0"/>
    <w:rsid w:val="2BCB00F4"/>
    <w:rsid w:val="2C1E3A36"/>
    <w:rsid w:val="2DF64D2C"/>
    <w:rsid w:val="2F8473E0"/>
    <w:rsid w:val="30CD55CE"/>
    <w:rsid w:val="32544674"/>
    <w:rsid w:val="32CF1F49"/>
    <w:rsid w:val="333A1A38"/>
    <w:rsid w:val="340C65FF"/>
    <w:rsid w:val="34335AD8"/>
    <w:rsid w:val="353244B1"/>
    <w:rsid w:val="38AF77DE"/>
    <w:rsid w:val="3ABA6F29"/>
    <w:rsid w:val="3D0516F3"/>
    <w:rsid w:val="3D4C4271"/>
    <w:rsid w:val="3DA3365B"/>
    <w:rsid w:val="3DBA61E4"/>
    <w:rsid w:val="3F1510B7"/>
    <w:rsid w:val="3F163F73"/>
    <w:rsid w:val="3F8E72C4"/>
    <w:rsid w:val="412B7CCC"/>
    <w:rsid w:val="41DC2723"/>
    <w:rsid w:val="43BB5294"/>
    <w:rsid w:val="44D83F1C"/>
    <w:rsid w:val="452252B1"/>
    <w:rsid w:val="453F4C04"/>
    <w:rsid w:val="46D6050B"/>
    <w:rsid w:val="47652002"/>
    <w:rsid w:val="4A840963"/>
    <w:rsid w:val="4B41115A"/>
    <w:rsid w:val="4C2C7897"/>
    <w:rsid w:val="4C3A3A67"/>
    <w:rsid w:val="4C990C77"/>
    <w:rsid w:val="4D8A2BC2"/>
    <w:rsid w:val="4E084338"/>
    <w:rsid w:val="4FE03A14"/>
    <w:rsid w:val="4FF24113"/>
    <w:rsid w:val="50A2441A"/>
    <w:rsid w:val="52B33332"/>
    <w:rsid w:val="52D538AA"/>
    <w:rsid w:val="5313152D"/>
    <w:rsid w:val="54310D0C"/>
    <w:rsid w:val="555D1A12"/>
    <w:rsid w:val="56382A85"/>
    <w:rsid w:val="56A448D9"/>
    <w:rsid w:val="579610F2"/>
    <w:rsid w:val="58344F6E"/>
    <w:rsid w:val="58B14145"/>
    <w:rsid w:val="59291701"/>
    <w:rsid w:val="5AE7364F"/>
    <w:rsid w:val="5B6A4C45"/>
    <w:rsid w:val="5D5B6285"/>
    <w:rsid w:val="5D5C37E8"/>
    <w:rsid w:val="5D830A99"/>
    <w:rsid w:val="60666EA6"/>
    <w:rsid w:val="62477230"/>
    <w:rsid w:val="625D3BDC"/>
    <w:rsid w:val="63440462"/>
    <w:rsid w:val="6515185F"/>
    <w:rsid w:val="65884CD2"/>
    <w:rsid w:val="65F64A3C"/>
    <w:rsid w:val="678B7BFD"/>
    <w:rsid w:val="67AB4AC3"/>
    <w:rsid w:val="69837D6A"/>
    <w:rsid w:val="6B720FD8"/>
    <w:rsid w:val="6BB3480D"/>
    <w:rsid w:val="6D491E5E"/>
    <w:rsid w:val="6D9724D8"/>
    <w:rsid w:val="6FA95BEF"/>
    <w:rsid w:val="714448DF"/>
    <w:rsid w:val="715941F8"/>
    <w:rsid w:val="718C6FCE"/>
    <w:rsid w:val="768A6302"/>
    <w:rsid w:val="79CB50A4"/>
    <w:rsid w:val="7AF3185B"/>
    <w:rsid w:val="7AF57FF1"/>
    <w:rsid w:val="7D152CBB"/>
    <w:rsid w:val="7D5A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Heading1"/>
    <w:qFormat/>
    <w:rsid w:val="00014F37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4F37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cs="Times New Roman"/>
      <w:b/>
      <w:bCs/>
      <w:kern w:val="44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014F37"/>
    <w:rPr>
      <w:rFonts w:ascii="宋体" w:hAnsi="宋体" w:cs="宋体"/>
      <w:sz w:val="28"/>
      <w:szCs w:val="28"/>
      <w:lang w:val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14F3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14F3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rsid w:val="00014F37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014F3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744A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4</Pages>
  <Words>279</Words>
  <Characters>1591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AutoBVT</cp:lastModifiedBy>
  <cp:revision>4</cp:revision>
  <cp:lastPrinted>2021-09-21T13:25:00Z</cp:lastPrinted>
  <dcterms:created xsi:type="dcterms:W3CDTF">2021-08-29T10:18:00Z</dcterms:created>
  <dcterms:modified xsi:type="dcterms:W3CDTF">2021-09-21T13:25:00Z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97A5DC783EFC409BB200C37366FB7F70</vt:lpwstr>
  </property>
</Properties>
</file>