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9C" w:rsidRDefault="005F5D9C">
      <w:pPr>
        <w:spacing w:line="600" w:lineRule="exact"/>
        <w:jc w:val="center"/>
        <w:rPr>
          <w:rFonts w:eastAsia="仿宋_GB2312"/>
          <w:sz w:val="32"/>
          <w:szCs w:val="32"/>
        </w:rPr>
      </w:pPr>
    </w:p>
    <w:p w:rsidR="005F5D9C" w:rsidRDefault="005F5D9C">
      <w:pPr>
        <w:spacing w:line="600" w:lineRule="exact"/>
        <w:jc w:val="center"/>
        <w:rPr>
          <w:rFonts w:eastAsia="仿宋_GB2312"/>
          <w:sz w:val="32"/>
          <w:szCs w:val="32"/>
        </w:rPr>
      </w:pPr>
      <w:r>
        <w:rPr>
          <w:rFonts w:ascii="Times New Roman" w:eastAsia="仿宋_GB2312" w:hAnsi="Times New Roman"/>
          <w:sz w:val="32"/>
          <w:szCs w:val="32"/>
        </w:rPr>
        <w:t xml:space="preserve"> </w:t>
      </w:r>
    </w:p>
    <w:p w:rsidR="005F5D9C" w:rsidRDefault="005F5D9C">
      <w:pPr>
        <w:spacing w:line="600" w:lineRule="exact"/>
        <w:jc w:val="center"/>
        <w:rPr>
          <w:rFonts w:eastAsia="仿宋_GB2312"/>
          <w:sz w:val="32"/>
          <w:szCs w:val="32"/>
        </w:rPr>
      </w:pPr>
    </w:p>
    <w:p w:rsidR="005F5D9C" w:rsidRDefault="005F5D9C">
      <w:pPr>
        <w:spacing w:line="600" w:lineRule="exact"/>
        <w:jc w:val="center"/>
        <w:rPr>
          <w:rFonts w:eastAsia="仿宋_GB2312"/>
          <w:sz w:val="32"/>
          <w:szCs w:val="32"/>
        </w:rPr>
      </w:pPr>
    </w:p>
    <w:p w:rsidR="005F5D9C" w:rsidRDefault="005F5D9C">
      <w:pPr>
        <w:spacing w:line="600" w:lineRule="exact"/>
        <w:jc w:val="center"/>
        <w:rPr>
          <w:rFonts w:eastAsia="仿宋_GB2312"/>
          <w:sz w:val="32"/>
          <w:szCs w:val="32"/>
        </w:rPr>
      </w:pPr>
    </w:p>
    <w:p w:rsidR="005F5D9C" w:rsidRDefault="005F5D9C">
      <w:pPr>
        <w:spacing w:line="600" w:lineRule="exact"/>
        <w:jc w:val="center"/>
        <w:rPr>
          <w:rFonts w:eastAsia="仿宋_GB2312"/>
          <w:sz w:val="32"/>
          <w:szCs w:val="32"/>
        </w:rPr>
      </w:pPr>
    </w:p>
    <w:p w:rsidR="005F5D9C" w:rsidRDefault="005F5D9C">
      <w:pPr>
        <w:spacing w:line="560" w:lineRule="exact"/>
        <w:jc w:val="center"/>
        <w:rPr>
          <w:rFonts w:eastAsia="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sz w:val="32"/>
          <w:szCs w:val="32"/>
        </w:rPr>
        <w:t>2022</w:t>
      </w:r>
      <w:r>
        <w:rPr>
          <w:rFonts w:ascii="Times New Roman" w:eastAsia="仿宋_GB2312" w:hAnsi="Times New Roman" w:cs="仿宋_GB2312" w:hint="eastAsia"/>
          <w:sz w:val="32"/>
          <w:szCs w:val="32"/>
        </w:rPr>
        <w:t>〕</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号</w:t>
      </w:r>
    </w:p>
    <w:p w:rsidR="005F5D9C" w:rsidRDefault="005F5D9C">
      <w:pPr>
        <w:spacing w:line="560" w:lineRule="exact"/>
        <w:jc w:val="center"/>
        <w:rPr>
          <w:rFonts w:ascii="仿宋_GB2312" w:eastAsia="仿宋_GB2312" w:cs="仿宋_GB2312"/>
          <w:sz w:val="32"/>
          <w:szCs w:val="32"/>
        </w:rPr>
      </w:pPr>
    </w:p>
    <w:p w:rsidR="005F5D9C" w:rsidRDefault="005F5D9C">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日，受县长李霞委托，县委常委、常务副县长徐明，县政府党组副书记郭鹏主持召开县长办公会议，对方城县杨集镇环七峰山旅游道路改建工程有关问题进行了认真讨论研究。现纪要如下：</w:t>
      </w:r>
    </w:p>
    <w:p w:rsidR="005F5D9C" w:rsidRDefault="005F5D9C">
      <w:pPr>
        <w:spacing w:line="52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会议认为：</w:t>
      </w:r>
      <w:r>
        <w:rPr>
          <w:rFonts w:ascii="仿宋_GB2312" w:eastAsia="仿宋_GB2312" w:hAnsi="仿宋_GB2312" w:cs="仿宋_GB2312" w:hint="eastAsia"/>
          <w:sz w:val="32"/>
          <w:szCs w:val="32"/>
        </w:rPr>
        <w:t>近年来，方城县旅游产业发展迅猛，七峰山、七十二潭两个</w:t>
      </w:r>
      <w:r>
        <w:rPr>
          <w:rFonts w:ascii="仿宋_GB2312" w:eastAsia="仿宋_GB2312" w:hAnsi="仿宋_GB2312" w:cs="仿宋_GB2312"/>
          <w:sz w:val="32"/>
          <w:szCs w:val="32"/>
        </w:rPr>
        <w:t>4A</w:t>
      </w:r>
      <w:r>
        <w:rPr>
          <w:rFonts w:ascii="仿宋_GB2312" w:eastAsia="仿宋_GB2312" w:hAnsi="仿宋_GB2312" w:cs="仿宋_GB2312" w:hint="eastAsia"/>
          <w:sz w:val="32"/>
          <w:szCs w:val="32"/>
        </w:rPr>
        <w:t>级景区知名度、影响力不断提升，但由于两景区均位于杨集镇，区位相邻，主要通行道路仅有</w:t>
      </w:r>
      <w:r>
        <w:rPr>
          <w:rFonts w:ascii="仿宋_GB2312" w:eastAsia="仿宋_GB2312" w:hAnsi="仿宋_GB2312" w:cs="仿宋_GB2312"/>
          <w:sz w:val="32"/>
          <w:szCs w:val="32"/>
        </w:rPr>
        <w:t>S239</w:t>
      </w:r>
      <w:r>
        <w:rPr>
          <w:rFonts w:ascii="仿宋_GB2312" w:eastAsia="仿宋_GB2312" w:hAnsi="仿宋_GB2312" w:cs="仿宋_GB2312" w:hint="eastAsia"/>
          <w:sz w:val="32"/>
          <w:szCs w:val="32"/>
        </w:rPr>
        <w:t>一条省级公路，旅游旺季经常发生交通拥堵，严重影响道路通行。为有效缓解</w:t>
      </w:r>
      <w:r>
        <w:rPr>
          <w:rFonts w:ascii="仿宋_GB2312" w:eastAsia="仿宋_GB2312" w:hAnsi="仿宋_GB2312" w:cs="仿宋_GB2312"/>
          <w:sz w:val="32"/>
          <w:szCs w:val="32"/>
        </w:rPr>
        <w:t>S239</w:t>
      </w:r>
      <w:r>
        <w:rPr>
          <w:rFonts w:ascii="仿宋_GB2312" w:eastAsia="仿宋_GB2312" w:hAnsi="仿宋_GB2312" w:cs="仿宋_GB2312" w:hint="eastAsia"/>
          <w:sz w:val="32"/>
          <w:szCs w:val="32"/>
        </w:rPr>
        <w:t>交通通行压力，改善景区通达条件，助推乡村振兴，亟需加快推进杨集镇环七峰山旅游道路改建工程。</w:t>
      </w:r>
    </w:p>
    <w:p w:rsidR="005F5D9C" w:rsidRDefault="005F5D9C">
      <w:pPr>
        <w:spacing w:line="56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会议决定</w:t>
      </w:r>
      <w:r>
        <w:rPr>
          <w:rFonts w:ascii="楷体_GB2312" w:eastAsia="楷体_GB2312" w:hAnsi="仿宋_GB2312" w:cs="仿宋_GB2312"/>
          <w:sz w:val="32"/>
          <w:szCs w:val="32"/>
        </w:rPr>
        <w:t>:</w:t>
      </w:r>
    </w:p>
    <w:p w:rsidR="005F5D9C" w:rsidRDefault="005F5D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关于前期手续办理问题。根据省交通运输厅《关于进一步规范农村公路建设项目前期工作的通知》要求，按照“容缺办理”原则，简化程序，加快办理前期手续。</w:t>
      </w:r>
    </w:p>
    <w:p w:rsidR="005F5D9C" w:rsidRDefault="005F5D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关于资金问题。该项目总投资</w:t>
      </w:r>
      <w:r>
        <w:rPr>
          <w:rFonts w:ascii="仿宋_GB2312" w:eastAsia="仿宋_GB2312" w:hAnsi="仿宋_GB2312" w:cs="仿宋_GB2312"/>
          <w:sz w:val="32"/>
          <w:szCs w:val="32"/>
        </w:rPr>
        <w:t>4746.6658</w:t>
      </w:r>
      <w:r>
        <w:rPr>
          <w:rFonts w:ascii="仿宋_GB2312" w:eastAsia="仿宋_GB2312" w:hAnsi="仿宋_GB2312" w:cs="仿宋_GB2312" w:hint="eastAsia"/>
          <w:sz w:val="32"/>
          <w:szCs w:val="32"/>
        </w:rPr>
        <w:t>万元，其中上级补助资金</w:t>
      </w:r>
      <w:r>
        <w:rPr>
          <w:rFonts w:ascii="仿宋_GB2312" w:eastAsia="仿宋_GB2312" w:hAnsi="仿宋_GB2312" w:cs="仿宋_GB2312"/>
          <w:sz w:val="32"/>
          <w:szCs w:val="32"/>
        </w:rPr>
        <w:t>1400</w:t>
      </w:r>
      <w:r>
        <w:rPr>
          <w:rFonts w:ascii="仿宋_GB2312" w:eastAsia="仿宋_GB2312" w:hAnsi="仿宋_GB2312" w:cs="仿宋_GB2312" w:hint="eastAsia"/>
          <w:sz w:val="32"/>
          <w:szCs w:val="32"/>
        </w:rPr>
        <w:t>万元，剩余部分由县财政列支。</w:t>
      </w:r>
    </w:p>
    <w:p w:rsidR="005F5D9C" w:rsidRDefault="005F5D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关于土地问题。由杨集镇负责，县自然资源局、交通运输局等相关部门配合，对该项目涉及占用的“基本农田”，抓紧协调推进，确保工程顺利实施。</w:t>
      </w:r>
    </w:p>
    <w:p w:rsidR="005F5D9C" w:rsidRDefault="005F5D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关于征地拆迁补偿问题。该项目涉及的农户房屋等地上附属物拆迁安置、征地协调工作由杨集镇负责，拆迁补偿资金由县财政采取以奖代补形式予以解决。</w:t>
      </w:r>
      <w:bookmarkStart w:id="0" w:name="_GoBack"/>
      <w:bookmarkEnd w:id="0"/>
    </w:p>
    <w:p w:rsidR="005F5D9C" w:rsidRDefault="005F5D9C">
      <w:pPr>
        <w:topLinePunct/>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以上研究决定事项，如与国家法律法规政策不一致，按国家法律法规政策执行。</w:t>
      </w:r>
    </w:p>
    <w:p w:rsidR="005F5D9C" w:rsidRDefault="005F5D9C">
      <w:pPr>
        <w:topLinePunct/>
        <w:spacing w:line="540" w:lineRule="exact"/>
        <w:ind w:firstLineChars="200" w:firstLine="640"/>
        <w:rPr>
          <w:rFonts w:ascii="黑体" w:eastAsia="黑体" w:hAnsi="黑体"/>
          <w:sz w:val="32"/>
          <w:szCs w:val="32"/>
        </w:rPr>
      </w:pPr>
    </w:p>
    <w:p w:rsidR="005F5D9C" w:rsidRDefault="005F5D9C">
      <w:pPr>
        <w:topLinePunct/>
        <w:spacing w:line="54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参会人员：</w:t>
      </w:r>
      <w:r>
        <w:rPr>
          <w:rFonts w:ascii="仿宋_GB2312" w:eastAsia="仿宋_GB2312" w:hAnsi="仿宋_GB2312" w:cs="仿宋_GB2312" w:hint="eastAsia"/>
          <w:sz w:val="32"/>
          <w:szCs w:val="32"/>
        </w:rPr>
        <w:t>徐</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郭</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鹏</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贾贵海</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张金付</w:t>
      </w:r>
    </w:p>
    <w:p w:rsidR="005F5D9C" w:rsidRDefault="005F5D9C">
      <w:pPr>
        <w:topLinePunct/>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王</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宏</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娄桂献</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谢晓民</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冯</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冰</w:t>
      </w:r>
    </w:p>
    <w:p w:rsidR="005F5D9C" w:rsidRDefault="005F5D9C" w:rsidP="007B36D4">
      <w:pPr>
        <w:spacing w:line="560" w:lineRule="exact"/>
        <w:ind w:firstLineChars="703" w:firstLine="2250"/>
        <w:rPr>
          <w:rFonts w:ascii="仿宋_GB2312" w:eastAsia="仿宋_GB2312" w:hAnsi="仿宋_GB2312" w:cs="仿宋_GB2312"/>
          <w:sz w:val="32"/>
          <w:szCs w:val="32"/>
        </w:rPr>
      </w:pPr>
    </w:p>
    <w:p w:rsidR="005F5D9C" w:rsidRDefault="005F5D9C" w:rsidP="007B36D4">
      <w:pPr>
        <w:spacing w:line="560" w:lineRule="exact"/>
        <w:ind w:firstLineChars="1903" w:firstLine="6090"/>
        <w:rPr>
          <w:rFonts w:ascii="Times New Roman" w:eastAsia="仿宋_GB2312" w:hAnsi="Times New Roman"/>
          <w:sz w:val="32"/>
          <w:szCs w:val="32"/>
        </w:rPr>
      </w:pPr>
      <w:r>
        <w:rPr>
          <w:rFonts w:ascii="Times New Roman" w:eastAsia="仿宋_GB2312" w:hAnsi="Times New Roman"/>
          <w:sz w:val="32"/>
          <w:szCs w:val="32"/>
        </w:rPr>
        <w:t>2022</w:t>
      </w:r>
      <w:r>
        <w:rPr>
          <w:rFonts w:ascii="Times New Roman" w:eastAsia="仿宋_GB2312" w:hAnsi="仿宋_GB2312" w:hint="eastAsia"/>
          <w:sz w:val="32"/>
          <w:szCs w:val="32"/>
        </w:rPr>
        <w:t>年</w:t>
      </w:r>
      <w:r>
        <w:rPr>
          <w:rFonts w:ascii="Times New Roman" w:eastAsia="仿宋_GB2312" w:hAnsi="Times New Roman"/>
          <w:sz w:val="32"/>
          <w:szCs w:val="32"/>
        </w:rPr>
        <w:t xml:space="preserve">  </w:t>
      </w:r>
      <w:r>
        <w:rPr>
          <w:rFonts w:ascii="Times New Roman" w:eastAsia="仿宋_GB2312" w:hAnsi="仿宋_GB2312" w:hint="eastAsia"/>
          <w:sz w:val="32"/>
          <w:szCs w:val="32"/>
        </w:rPr>
        <w:t>月</w:t>
      </w:r>
      <w:r>
        <w:rPr>
          <w:rFonts w:ascii="Times New Roman" w:eastAsia="仿宋_GB2312" w:hAnsi="Times New Roman"/>
          <w:sz w:val="32"/>
          <w:szCs w:val="32"/>
        </w:rPr>
        <w:t xml:space="preserve">  </w:t>
      </w:r>
      <w:r>
        <w:rPr>
          <w:rFonts w:ascii="Times New Roman" w:eastAsia="仿宋_GB2312" w:hAnsi="仿宋_GB2312" w:hint="eastAsia"/>
          <w:sz w:val="32"/>
          <w:szCs w:val="32"/>
        </w:rPr>
        <w:t>日</w:t>
      </w:r>
    </w:p>
    <w:p w:rsidR="005F5D9C" w:rsidRDefault="005F5D9C">
      <w:pPr>
        <w:spacing w:line="600" w:lineRule="exact"/>
        <w:rPr>
          <w:rFonts w:ascii="仿宋_GB2312" w:eastAsia="仿宋_GB2312" w:hAnsi="仿宋_GB2312" w:cs="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pPr>
        <w:widowControl/>
        <w:kinsoku w:val="0"/>
        <w:autoSpaceDE w:val="0"/>
        <w:autoSpaceDN w:val="0"/>
        <w:adjustRightInd w:val="0"/>
        <w:snapToGrid w:val="0"/>
        <w:spacing w:line="40" w:lineRule="exact"/>
        <w:ind w:firstLineChars="200" w:firstLine="640"/>
        <w:jc w:val="left"/>
        <w:textAlignment w:val="baseline"/>
        <w:rPr>
          <w:rFonts w:eastAsia="仿宋_GB2312"/>
          <w:color w:val="000000"/>
          <w:sz w:val="32"/>
          <w:szCs w:val="32"/>
        </w:rPr>
      </w:pPr>
    </w:p>
    <w:p w:rsidR="005F5D9C" w:rsidRDefault="005F5D9C" w:rsidP="007B36D4">
      <w:pPr>
        <w:pBdr>
          <w:top w:val="single" w:sz="4" w:space="1" w:color="auto"/>
          <w:between w:val="single" w:sz="4" w:space="1" w:color="auto"/>
        </w:pBdr>
        <w:spacing w:line="560" w:lineRule="exact"/>
        <w:ind w:left="1258" w:hangingChars="393" w:hanging="1258"/>
        <w:rPr>
          <w:rFonts w:ascii="仿宋_GB2312" w:eastAsia="仿宋_GB2312"/>
          <w:color w:val="000000"/>
          <w:spacing w:val="-6"/>
          <w:sz w:val="32"/>
          <w:szCs w:val="32"/>
        </w:rPr>
      </w:pPr>
      <w:r>
        <w:rPr>
          <w:rFonts w:ascii="仿宋_GB2312" w:eastAsia="仿宋_GB2312" w:hint="eastAsia"/>
          <w:color w:val="000000"/>
          <w:sz w:val="32"/>
          <w:szCs w:val="32"/>
        </w:rPr>
        <w:t>主办：县长办公室</w:t>
      </w:r>
      <w:r>
        <w:rPr>
          <w:rFonts w:ascii="仿宋_GB2312" w:eastAsia="仿宋_GB2312"/>
          <w:color w:val="000000"/>
          <w:sz w:val="32"/>
          <w:szCs w:val="32"/>
        </w:rPr>
        <w:t xml:space="preserve">                   </w:t>
      </w:r>
      <w:r>
        <w:rPr>
          <w:rFonts w:ascii="仿宋_GB2312" w:eastAsia="仿宋_GB2312" w:hint="eastAsia"/>
          <w:color w:val="000000"/>
          <w:sz w:val="32"/>
          <w:szCs w:val="32"/>
        </w:rPr>
        <w:t>督办：方城县效能中心</w:t>
      </w:r>
    </w:p>
    <w:p w:rsidR="005F5D9C" w:rsidRDefault="005F5D9C" w:rsidP="007B36D4">
      <w:pPr>
        <w:pBdr>
          <w:top w:val="single" w:sz="4" w:space="1" w:color="auto"/>
          <w:between w:val="single" w:sz="4" w:space="1" w:color="auto"/>
        </w:pBdr>
        <w:spacing w:line="560" w:lineRule="exact"/>
        <w:ind w:left="1258" w:hangingChars="393" w:hanging="1258"/>
        <w:rPr>
          <w:rFonts w:ascii="仿宋_GB2312" w:eastAsia="仿宋_GB2312"/>
          <w:color w:val="000000"/>
          <w:spacing w:val="-6"/>
          <w:sz w:val="32"/>
          <w:szCs w:val="32"/>
        </w:rPr>
      </w:pPr>
      <w:r>
        <w:rPr>
          <w:rFonts w:ascii="仿宋_GB2312" w:eastAsia="仿宋_GB2312" w:hint="eastAsia"/>
          <w:color w:val="000000"/>
          <w:sz w:val="32"/>
          <w:szCs w:val="32"/>
        </w:rPr>
        <w:t>本期发：</w:t>
      </w:r>
      <w:r>
        <w:rPr>
          <w:rFonts w:ascii="仿宋_GB2312" w:eastAsia="仿宋_GB2312" w:hint="eastAsia"/>
          <w:color w:val="000000"/>
          <w:spacing w:val="-6"/>
          <w:sz w:val="32"/>
          <w:szCs w:val="32"/>
        </w:rPr>
        <w:t>县政府各位县长，县直有关部门。</w:t>
      </w:r>
    </w:p>
    <w:p w:rsidR="005F5D9C" w:rsidRDefault="005F5D9C">
      <w:pPr>
        <w:pBdr>
          <w:top w:val="single" w:sz="4" w:space="1" w:color="auto"/>
          <w:between w:val="single" w:sz="4" w:space="1" w:color="auto"/>
        </w:pBdr>
        <w:spacing w:line="560" w:lineRule="exact"/>
        <w:rPr>
          <w:rFonts w:eastAsia="仿宋_GB2312"/>
          <w:color w:val="000000"/>
          <w:sz w:val="32"/>
          <w:szCs w:val="32"/>
        </w:rPr>
      </w:pPr>
      <w:r>
        <w:rPr>
          <w:rFonts w:ascii="仿宋_GB2312" w:eastAsia="仿宋_GB2312" w:hint="eastAsia"/>
          <w:color w:val="000000"/>
          <w:sz w:val="32"/>
          <w:szCs w:val="32"/>
        </w:rPr>
        <w:t>方城县人民政府办公室</w:t>
      </w:r>
      <w:r>
        <w:rPr>
          <w:rFonts w:ascii="仿宋_GB2312" w:eastAsia="仿宋_GB2312"/>
          <w:color w:val="000000"/>
          <w:sz w:val="32"/>
          <w:szCs w:val="32"/>
        </w:rPr>
        <w:t xml:space="preserve">              </w:t>
      </w:r>
      <w:r>
        <w:rPr>
          <w:rFonts w:ascii="Times New Roman" w:eastAsia="仿宋_GB2312" w:hAnsi="Times New Roman"/>
          <w:color w:val="000000"/>
          <w:sz w:val="32"/>
          <w:szCs w:val="32"/>
        </w:rPr>
        <w:t xml:space="preserve"> 202</w:t>
      </w:r>
      <w:r>
        <w:rPr>
          <w:rFonts w:ascii="Times New Roman" w:hAnsi="Times New Roman"/>
          <w:color w:val="000000"/>
          <w:sz w:val="32"/>
          <w:szCs w:val="32"/>
        </w:rPr>
        <w:t>2</w:t>
      </w:r>
      <w:r>
        <w:rPr>
          <w:rFonts w:eastAsia="仿宋_GB2312" w:hint="eastAsia"/>
          <w:color w:val="000000"/>
          <w:sz w:val="32"/>
          <w:szCs w:val="32"/>
        </w:rPr>
        <w:t>年</w:t>
      </w:r>
      <w:r>
        <w:rPr>
          <w:color w:val="000000"/>
          <w:sz w:val="32"/>
          <w:szCs w:val="32"/>
        </w:rPr>
        <w:t xml:space="preserve">  </w:t>
      </w:r>
      <w:r>
        <w:rPr>
          <w:rFonts w:eastAsia="仿宋_GB2312" w:hint="eastAsia"/>
          <w:color w:val="000000"/>
          <w:sz w:val="32"/>
          <w:szCs w:val="32"/>
        </w:rPr>
        <w:t>月</w:t>
      </w:r>
      <w:r>
        <w:rPr>
          <w:color w:val="000000"/>
          <w:sz w:val="32"/>
          <w:szCs w:val="32"/>
        </w:rPr>
        <w:t xml:space="preserve">   </w:t>
      </w:r>
      <w:r>
        <w:rPr>
          <w:rFonts w:eastAsia="仿宋_GB2312" w:hint="eastAsia"/>
          <w:color w:val="000000"/>
          <w:sz w:val="32"/>
          <w:szCs w:val="32"/>
        </w:rPr>
        <w:t>日印发</w:t>
      </w:r>
    </w:p>
    <w:p w:rsidR="005F5D9C" w:rsidRDefault="005F5D9C">
      <w:pPr>
        <w:pBdr>
          <w:top w:val="single" w:sz="4" w:space="1" w:color="auto"/>
          <w:between w:val="single" w:sz="4" w:space="1" w:color="auto"/>
        </w:pBdr>
        <w:spacing w:line="560" w:lineRule="exact"/>
        <w:jc w:val="right"/>
        <w:rPr>
          <w:rFonts w:ascii="仿宋_GB2312" w:eastAsia="仿宋_GB2312" w:hAnsi="仿宋_GB2312" w:cs="仿宋_GB2312"/>
          <w:sz w:val="32"/>
          <w:szCs w:val="32"/>
        </w:rPr>
      </w:pPr>
      <w:r>
        <w:rPr>
          <w:rFonts w:eastAsia="仿宋_GB2312" w:hint="eastAsia"/>
          <w:color w:val="000000"/>
          <w:sz w:val="32"/>
          <w:szCs w:val="32"/>
        </w:rPr>
        <w:t>（共印</w:t>
      </w:r>
      <w:r>
        <w:rPr>
          <w:color w:val="000000"/>
          <w:sz w:val="32"/>
          <w:szCs w:val="32"/>
        </w:rPr>
        <w:t xml:space="preserve">  </w:t>
      </w:r>
      <w:r>
        <w:rPr>
          <w:rFonts w:eastAsia="仿宋_GB2312" w:hint="eastAsia"/>
          <w:color w:val="000000"/>
          <w:sz w:val="32"/>
          <w:szCs w:val="32"/>
        </w:rPr>
        <w:t>份）</w:t>
      </w:r>
    </w:p>
    <w:sectPr w:rsidR="005F5D9C" w:rsidSect="006D45F6">
      <w:footerReference w:type="even" r:id="rId6"/>
      <w:footerReference w:type="default" r:id="rId7"/>
      <w:pgSz w:w="11906" w:h="16838"/>
      <w:pgMar w:top="2098" w:right="1474" w:bottom="1985" w:left="1588" w:header="851" w:footer="1418" w:gutter="0"/>
      <w:pgNumType w:fmt="numberInDash"/>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9C" w:rsidRDefault="005F5D9C" w:rsidP="006D45F6">
      <w:r>
        <w:separator/>
      </w:r>
    </w:p>
  </w:endnote>
  <w:endnote w:type="continuationSeparator" w:id="0">
    <w:p w:rsidR="005F5D9C" w:rsidRDefault="005F5D9C" w:rsidP="006D4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9C" w:rsidRDefault="005F5D9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- 2 -</w:t>
    </w:r>
    <w:r>
      <w:rPr>
        <w:rStyle w:val="PageNumber"/>
      </w:rPr>
      <w:fldChar w:fldCharType="end"/>
    </w:r>
  </w:p>
  <w:p w:rsidR="005F5D9C" w:rsidRDefault="005F5D9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9C" w:rsidRDefault="005F5D9C">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- 2 -</w:t>
    </w:r>
    <w:r>
      <w:rPr>
        <w:rStyle w:val="PageNumber"/>
        <w:rFonts w:ascii="宋体" w:hAnsi="宋体"/>
        <w:sz w:val="28"/>
        <w:szCs w:val="28"/>
      </w:rPr>
      <w:fldChar w:fldCharType="end"/>
    </w:r>
  </w:p>
  <w:p w:rsidR="005F5D9C" w:rsidRDefault="005F5D9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9C" w:rsidRDefault="005F5D9C" w:rsidP="006D45F6">
      <w:r>
        <w:separator/>
      </w:r>
    </w:p>
  </w:footnote>
  <w:footnote w:type="continuationSeparator" w:id="0">
    <w:p w:rsidR="005F5D9C" w:rsidRDefault="005F5D9C" w:rsidP="006D4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13B"/>
    <w:rsid w:val="0003513B"/>
    <w:rsid w:val="000965D6"/>
    <w:rsid w:val="001E7A53"/>
    <w:rsid w:val="001F4A48"/>
    <w:rsid w:val="002C1CBA"/>
    <w:rsid w:val="003B4B32"/>
    <w:rsid w:val="00471745"/>
    <w:rsid w:val="005412E5"/>
    <w:rsid w:val="00567A5A"/>
    <w:rsid w:val="005F5D9C"/>
    <w:rsid w:val="006C52D1"/>
    <w:rsid w:val="006D45F6"/>
    <w:rsid w:val="006D5C5C"/>
    <w:rsid w:val="007B36D4"/>
    <w:rsid w:val="007D7830"/>
    <w:rsid w:val="0088674E"/>
    <w:rsid w:val="00A81C09"/>
    <w:rsid w:val="00A8354D"/>
    <w:rsid w:val="00B034E6"/>
    <w:rsid w:val="00C35440"/>
    <w:rsid w:val="00CE2B63"/>
    <w:rsid w:val="00D16297"/>
    <w:rsid w:val="00DA5FEE"/>
    <w:rsid w:val="0C47760C"/>
    <w:rsid w:val="1EC714FD"/>
    <w:rsid w:val="1F2F2A76"/>
    <w:rsid w:val="202F5B81"/>
    <w:rsid w:val="214E3A78"/>
    <w:rsid w:val="2CD34DC5"/>
    <w:rsid w:val="3CBE7166"/>
    <w:rsid w:val="4D605340"/>
    <w:rsid w:val="522A7280"/>
    <w:rsid w:val="64B2628B"/>
    <w:rsid w:val="6E5F4AD1"/>
    <w:rsid w:val="7C1A3A1A"/>
    <w:rsid w:val="7F9719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5F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45F6"/>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6D45F6"/>
    <w:rPr>
      <w:rFonts w:ascii="Calibri" w:hAnsi="Calibri"/>
      <w:sz w:val="18"/>
    </w:rPr>
  </w:style>
  <w:style w:type="paragraph" w:styleId="Header">
    <w:name w:val="header"/>
    <w:basedOn w:val="Normal"/>
    <w:link w:val="HeaderChar"/>
    <w:uiPriority w:val="99"/>
    <w:rsid w:val="006D45F6"/>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6D45F6"/>
    <w:rPr>
      <w:rFonts w:ascii="Calibri" w:hAnsi="Calibri"/>
      <w:sz w:val="18"/>
    </w:rPr>
  </w:style>
  <w:style w:type="character" w:styleId="PageNumber">
    <w:name w:val="page number"/>
    <w:basedOn w:val="DefaultParagraphFont"/>
    <w:uiPriority w:val="99"/>
    <w:rsid w:val="006D45F6"/>
    <w:rPr>
      <w:rFonts w:cs="Times New Roman"/>
    </w:rPr>
  </w:style>
  <w:style w:type="paragraph" w:customStyle="1" w:styleId="Char">
    <w:name w:val="Char"/>
    <w:basedOn w:val="Normal"/>
    <w:uiPriority w:val="99"/>
    <w:semiHidden/>
    <w:rsid w:val="006D45F6"/>
    <w:rPr>
      <w:rFonts w:ascii="Times New Roman" w:hAnsi="Times New Roman"/>
    </w:rPr>
  </w:style>
  <w:style w:type="paragraph" w:customStyle="1" w:styleId="00121">
    <w:name w:val="样式 正文001 + 首行缩进:  2 字符1"/>
    <w:basedOn w:val="Normal"/>
    <w:uiPriority w:val="99"/>
    <w:rsid w:val="006D45F6"/>
    <w:pPr>
      <w:suppressAutoHyphens/>
      <w:spacing w:before="60" w:after="100" w:afterAutospacing="1" w:line="460" w:lineRule="exact"/>
      <w:ind w:firstLineChars="200" w:firstLine="480"/>
    </w:pPr>
    <w:rPr>
      <w:rFonts w:ascii="宋体" w:hAnsi="宋体" w:cs="Calibri"/>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118</Words>
  <Characters>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1-15</dc:creator>
  <cp:keywords/>
  <dc:description/>
  <cp:lastModifiedBy>AutoBVT</cp:lastModifiedBy>
  <cp:revision>3</cp:revision>
  <cp:lastPrinted>2022-04-07T09:39:00Z</cp:lastPrinted>
  <dcterms:created xsi:type="dcterms:W3CDTF">2022-04-07T09:21:00Z</dcterms:created>
  <dcterms:modified xsi:type="dcterms:W3CDTF">2022-04-07T09:39:00Z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C3504AD55E7142D09460036119DF75B4</vt:lpwstr>
  </property>
</Properties>
</file>