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县发改委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1-8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月述职报告</w:t>
      </w:r>
    </w:p>
    <w:p>
      <w:pPr>
        <w:ind w:firstLine="0" w:firstLineChars="0"/>
        <w:jc w:val="center"/>
        <w:rPr>
          <w:rFonts w:ascii="Times New Roman" w:hAnsi="Times New Roman" w:eastAsia="楷体_GB2312" w:cs="Times New Roman"/>
        </w:rPr>
      </w:pPr>
      <w:r>
        <w:rPr>
          <w:rFonts w:hint="eastAsia" w:ascii="Times New Roman" w:hAnsi="楷体_GB2312" w:eastAsia="楷体_GB2312" w:cs="Times New Roman"/>
        </w:rPr>
        <w:t>（</w:t>
      </w:r>
      <w:r>
        <w:rPr>
          <w:rFonts w:ascii="Times New Roman" w:hAnsi="Times New Roman" w:eastAsia="楷体_GB2312" w:cs="Times New Roman"/>
        </w:rPr>
        <w:t>2021</w:t>
      </w:r>
      <w:r>
        <w:rPr>
          <w:rFonts w:hint="eastAsia" w:ascii="Times New Roman" w:hAnsi="楷体_GB2312" w:eastAsia="楷体_GB2312" w:cs="Times New Roman"/>
        </w:rPr>
        <w:t>年</w:t>
      </w:r>
      <w:r>
        <w:rPr>
          <w:rFonts w:ascii="Times New Roman" w:hAnsi="Times New Roman" w:eastAsia="楷体_GB2312" w:cs="Times New Roman"/>
        </w:rPr>
        <w:t>9</w:t>
      </w:r>
      <w:r>
        <w:rPr>
          <w:rFonts w:hint="eastAsia" w:ascii="Times New Roman" w:hAnsi="楷体_GB2312" w:eastAsia="楷体_GB2312" w:cs="Times New Roman"/>
        </w:rPr>
        <w:t>月</w:t>
      </w:r>
      <w:r>
        <w:rPr>
          <w:rFonts w:ascii="Times New Roman" w:hAnsi="Times New Roman" w:eastAsia="楷体_GB2312" w:cs="Times New Roman"/>
        </w:rPr>
        <w:t>6</w:t>
      </w:r>
      <w:r>
        <w:rPr>
          <w:rFonts w:hint="eastAsia" w:ascii="Times New Roman" w:hAnsi="楷体_GB2312" w:eastAsia="楷体_GB2312" w:cs="Times New Roman"/>
        </w:rPr>
        <w:t>日）</w:t>
      </w:r>
    </w:p>
    <w:p>
      <w:pPr>
        <w:jc w:val="center"/>
      </w:pPr>
    </w:p>
    <w:p>
      <w:r>
        <w:rPr>
          <w:rFonts w:hint="eastAsia"/>
        </w:rPr>
        <w:t>今年以来，在县委、县政府的正确领导下，县发改委严格落实县委、县政府各项决策部署，恪尽职守、履职尽责，各项工作任务扎实推进，现将有关情况报告如下：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一、主要工作开展情况</w:t>
      </w:r>
    </w:p>
    <w:p>
      <w:r>
        <w:rPr>
          <w:rFonts w:hint="eastAsia" w:ascii="楷体_GB2312" w:hAnsi="楷体_GB2312" w:eastAsia="楷体_GB2312" w:cs="楷体_GB2312"/>
          <w:bCs/>
        </w:rPr>
        <w:t>（一）加强项目建设，增强发展后劲。</w:t>
      </w:r>
      <w:r>
        <w:rPr>
          <w:rFonts w:hint="eastAsia"/>
          <w:bCs/>
        </w:rPr>
        <w:t>纳入</w:t>
      </w:r>
      <w:r>
        <w:rPr>
          <w:bCs/>
        </w:rPr>
        <w:t>2021</w:t>
      </w:r>
      <w:r>
        <w:rPr>
          <w:rFonts w:hint="eastAsia"/>
          <w:bCs/>
        </w:rPr>
        <w:t>年度全市绩效考评的</w:t>
      </w:r>
      <w:r>
        <w:rPr>
          <w:bCs/>
        </w:rPr>
        <w:t>5000</w:t>
      </w:r>
      <w:r>
        <w:rPr>
          <w:rFonts w:hint="eastAsia"/>
          <w:bCs/>
        </w:rPr>
        <w:t>万元以上固定资产投资项目</w:t>
      </w:r>
      <w:r>
        <w:rPr>
          <w:bCs/>
        </w:rPr>
        <w:t>71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297.7</w:t>
      </w:r>
      <w:r>
        <w:rPr>
          <w:rFonts w:hint="eastAsia"/>
        </w:rPr>
        <w:t>亿元，完成投资</w:t>
      </w:r>
      <w:r>
        <w:t>91.8</w:t>
      </w:r>
      <w:r>
        <w:rPr>
          <w:rFonts w:hint="eastAsia"/>
        </w:rPr>
        <w:t>亿元，占年度计划投资</w:t>
      </w:r>
      <w:r>
        <w:t>93.4</w:t>
      </w:r>
      <w:r>
        <w:rPr>
          <w:rFonts w:hint="eastAsia"/>
        </w:rPr>
        <w:t>亿元的</w:t>
      </w:r>
      <w:r>
        <w:t>98.3%</w:t>
      </w:r>
      <w:r>
        <w:rPr>
          <w:rFonts w:hint="eastAsia"/>
        </w:rPr>
        <w:t>；</w:t>
      </w:r>
      <w:r>
        <w:rPr>
          <w:rFonts w:hint="eastAsia"/>
          <w:bCs/>
        </w:rPr>
        <w:t>省市重点项目</w:t>
      </w:r>
      <w:r>
        <w:rPr>
          <w:bCs/>
        </w:rPr>
        <w:t>18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123.1</w:t>
      </w:r>
      <w:r>
        <w:rPr>
          <w:rFonts w:hint="eastAsia"/>
        </w:rPr>
        <w:t>亿元，完成投资</w:t>
      </w:r>
      <w:r>
        <w:t>34</w:t>
      </w:r>
      <w:r>
        <w:rPr>
          <w:rFonts w:hint="eastAsia"/>
        </w:rPr>
        <w:t>亿元，占年度计划投资</w:t>
      </w:r>
      <w:r>
        <w:t>40.7</w:t>
      </w:r>
      <w:r>
        <w:rPr>
          <w:rFonts w:hint="eastAsia"/>
        </w:rPr>
        <w:t>亿元的</w:t>
      </w:r>
      <w:r>
        <w:t>83.5%</w:t>
      </w:r>
      <w:r>
        <w:rPr>
          <w:rFonts w:hint="eastAsia"/>
        </w:rPr>
        <w:t>。前三批集中</w:t>
      </w:r>
      <w:r>
        <w:rPr>
          <w:rFonts w:hint="eastAsia"/>
          <w:bCs/>
        </w:rPr>
        <w:t>签约项目</w:t>
      </w:r>
      <w:r>
        <w:rPr>
          <w:bCs/>
        </w:rPr>
        <w:t>7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20.3</w:t>
      </w:r>
      <w:r>
        <w:rPr>
          <w:rFonts w:hint="eastAsia"/>
        </w:rPr>
        <w:t>亿元，</w:t>
      </w:r>
      <w:r>
        <w:rPr>
          <w:rFonts w:hint="eastAsia"/>
          <w:bCs/>
        </w:rPr>
        <w:t>集中开工项目</w:t>
      </w:r>
      <w:r>
        <w:rPr>
          <w:bCs/>
        </w:rPr>
        <w:t>58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132.3</w:t>
      </w:r>
      <w:r>
        <w:rPr>
          <w:rFonts w:hint="eastAsia"/>
        </w:rPr>
        <w:t>亿元，完成投资</w:t>
      </w:r>
      <w:r>
        <w:t>45.7</w:t>
      </w:r>
      <w:r>
        <w:rPr>
          <w:rFonts w:hint="eastAsia"/>
        </w:rPr>
        <w:t>亿元，占年度计划投资</w:t>
      </w:r>
      <w:r>
        <w:t>54.3</w:t>
      </w:r>
      <w:r>
        <w:rPr>
          <w:rFonts w:hint="eastAsia"/>
        </w:rPr>
        <w:t>亿元的</w:t>
      </w:r>
      <w:r>
        <w:t>84.2%</w:t>
      </w:r>
      <w:r>
        <w:rPr>
          <w:rFonts w:hint="eastAsia"/>
        </w:rPr>
        <w:t>。</w:t>
      </w:r>
      <w:r>
        <w:rPr>
          <w:rFonts w:hint="eastAsia"/>
          <w:bCs/>
        </w:rPr>
        <w:t>省“</w:t>
      </w:r>
      <w:r>
        <w:rPr>
          <w:bCs/>
        </w:rPr>
        <w:t>982</w:t>
      </w:r>
      <w:r>
        <w:rPr>
          <w:rFonts w:hint="eastAsia"/>
          <w:bCs/>
        </w:rPr>
        <w:t>”补短板工程项目</w:t>
      </w:r>
      <w:r>
        <w:rPr>
          <w:bCs/>
        </w:rPr>
        <w:t>73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273.2</w:t>
      </w:r>
      <w:r>
        <w:rPr>
          <w:rFonts w:hint="eastAsia"/>
        </w:rPr>
        <w:t>亿元，完成投资</w:t>
      </w:r>
      <w:r>
        <w:t>53.9</w:t>
      </w:r>
      <w:r>
        <w:rPr>
          <w:rFonts w:hint="eastAsia"/>
        </w:rPr>
        <w:t>亿元，占年度计划投资</w:t>
      </w:r>
      <w:r>
        <w:t>63.3</w:t>
      </w:r>
      <w:r>
        <w:rPr>
          <w:rFonts w:hint="eastAsia"/>
        </w:rPr>
        <w:t>亿元的</w:t>
      </w:r>
      <w:r>
        <w:t>85.1%</w:t>
      </w:r>
      <w:r>
        <w:rPr>
          <w:rFonts w:hint="eastAsia"/>
        </w:rPr>
        <w:t>。</w:t>
      </w:r>
      <w:r>
        <w:rPr>
          <w:rFonts w:hint="eastAsia"/>
          <w:bCs/>
        </w:rPr>
        <w:t>谋划储备</w:t>
      </w:r>
      <w:r>
        <w:rPr>
          <w:bCs/>
        </w:rPr>
        <w:t>2021</w:t>
      </w:r>
      <w:r>
        <w:rPr>
          <w:rFonts w:hint="eastAsia"/>
          <w:bCs/>
        </w:rPr>
        <w:t>年专项债券项目</w:t>
      </w:r>
      <w:r>
        <w:rPr>
          <w:bCs/>
        </w:rPr>
        <w:t>87</w:t>
      </w:r>
      <w:r>
        <w:rPr>
          <w:rFonts w:hint="eastAsia"/>
          <w:bCs/>
        </w:rPr>
        <w:t>个</w:t>
      </w:r>
      <w:r>
        <w:rPr>
          <w:rFonts w:hint="eastAsia"/>
        </w:rPr>
        <w:t>，总投资</w:t>
      </w:r>
      <w:r>
        <w:t>296.4</w:t>
      </w:r>
      <w:r>
        <w:rPr>
          <w:rFonts w:hint="eastAsia"/>
        </w:rPr>
        <w:t>亿元，拟申请债券金额</w:t>
      </w:r>
      <w:r>
        <w:t>150.3</w:t>
      </w:r>
      <w:r>
        <w:rPr>
          <w:rFonts w:hint="eastAsia"/>
        </w:rPr>
        <w:t>亿元。止目前，已发行项目</w:t>
      </w:r>
      <w:r>
        <w:t>13</w:t>
      </w:r>
      <w:r>
        <w:rPr>
          <w:rFonts w:hint="eastAsia"/>
        </w:rPr>
        <w:t>个，总投资</w:t>
      </w:r>
      <w:r>
        <w:t>54.5</w:t>
      </w:r>
      <w:r>
        <w:rPr>
          <w:rFonts w:hint="eastAsia"/>
        </w:rPr>
        <w:t>亿元，发行金额</w:t>
      </w:r>
      <w:r>
        <w:t>14.08</w:t>
      </w:r>
      <w:r>
        <w:rPr>
          <w:rFonts w:hint="eastAsia"/>
        </w:rPr>
        <w:t>亿元。汉山水库、南水北调中线工程贾河调蓄水库、长征和长城国家文化公园、超精密数控机床及高端五轴车铣机床的规模化制造项目等</w:t>
      </w:r>
      <w:r>
        <w:t>12</w:t>
      </w:r>
      <w:r>
        <w:rPr>
          <w:rFonts w:hint="eastAsia"/>
        </w:rPr>
        <w:t>个项目初步纳入国家、省专项规划。</w:t>
      </w:r>
    </w:p>
    <w:p>
      <w:r>
        <w:rPr>
          <w:rFonts w:hint="eastAsia" w:ascii="楷体_GB2312" w:hAnsi="楷体_GB2312" w:eastAsia="楷体_GB2312" w:cs="楷体_GB2312"/>
          <w:bCs/>
        </w:rPr>
        <w:t>（二）优化营商环境，服务经济发展</w:t>
      </w:r>
      <w:r>
        <w:rPr>
          <w:rFonts w:hint="eastAsia" w:ascii="楷体_GB2312" w:hAnsi="楷体_GB2312" w:eastAsia="楷体_GB2312" w:cs="楷体_GB2312"/>
          <w:b/>
          <w:bCs/>
        </w:rPr>
        <w:t>。</w:t>
      </w:r>
      <w:r>
        <w:rPr>
          <w:rFonts w:hint="eastAsia"/>
        </w:rPr>
        <w:t>制定《方城县优化营商环境工作考核奖惩暂行办法》《方城县优化营商环境问题专项整治行动方案》等文件，制定县处级领导分包优化营商环境重点工作一览表，积极参与省、市评价工作，在市第二季度评价中居全市第</w:t>
      </w:r>
      <w:r>
        <w:t>8</w:t>
      </w:r>
      <w:r>
        <w:rPr>
          <w:rFonts w:hint="eastAsia"/>
        </w:rPr>
        <w:t>位。</w:t>
      </w:r>
    </w:p>
    <w:p>
      <w:r>
        <w:rPr>
          <w:rFonts w:hint="eastAsia" w:ascii="楷体_GB2312" w:hAnsi="楷体_GB2312" w:eastAsia="楷体_GB2312" w:cs="楷体_GB2312"/>
          <w:bCs/>
        </w:rPr>
        <w:t>（三）围绕重点任务，推进中心工作</w:t>
      </w:r>
      <w:r>
        <w:rPr>
          <w:rFonts w:hint="eastAsia" w:ascii="楷体_GB2312" w:hAnsi="楷体_GB2312" w:eastAsia="楷体_GB2312" w:cs="楷体_GB2312"/>
          <w:b/>
          <w:bCs/>
        </w:rPr>
        <w:t>。</w:t>
      </w:r>
      <w:r>
        <w:rPr>
          <w:rFonts w:hint="eastAsia"/>
          <w:b/>
          <w:bCs/>
        </w:rPr>
        <w:t>一是</w:t>
      </w:r>
      <w:r>
        <w:rPr>
          <w:rFonts w:hint="eastAsia"/>
        </w:rPr>
        <w:t>信用信息归集共享全面推进，大数据与社会信用体系实现融合发展，“双公示”做到行业全面覆，公示信息</w:t>
      </w:r>
      <w:r>
        <w:t>36.1</w:t>
      </w:r>
      <w:r>
        <w:rPr>
          <w:rFonts w:hint="eastAsia"/>
        </w:rPr>
        <w:t>万条，</w:t>
      </w:r>
      <w:r>
        <w:t>28.3</w:t>
      </w:r>
      <w:r>
        <w:rPr>
          <w:rFonts w:hint="eastAsia"/>
        </w:rPr>
        <w:t>万农户和</w:t>
      </w:r>
      <w:r>
        <w:t>5440</w:t>
      </w:r>
      <w:r>
        <w:rPr>
          <w:rFonts w:hint="eastAsia"/>
        </w:rPr>
        <w:t>家新型农业主体全面归集入库；持续推进企业入驻“信豫融”平台，入驻“信豫融”平台企业达到</w:t>
      </w:r>
      <w:r>
        <w:t>201</w:t>
      </w:r>
      <w:r>
        <w:rPr>
          <w:rFonts w:hint="eastAsia"/>
        </w:rPr>
        <w:t>家。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加强粮食和物资储备。做好粮食出库工作，累计成交小麦近</w:t>
      </w:r>
      <w:r>
        <w:t>30</w:t>
      </w:r>
      <w:r>
        <w:rPr>
          <w:rFonts w:hint="eastAsia"/>
        </w:rPr>
        <w:t>万吨；顺利完成通过全市粮安考核考核工作；</w:t>
      </w:r>
      <w:r>
        <w:t>75</w:t>
      </w:r>
      <w:r>
        <w:rPr>
          <w:rFonts w:hint="eastAsia"/>
        </w:rPr>
        <w:t>万吨粮食和物资储备库建设项目的环评、可研审批等前期工作已完成；积极储备防汛物资，组建</w:t>
      </w:r>
      <w:r>
        <w:t>39</w:t>
      </w:r>
      <w:r>
        <w:rPr>
          <w:rFonts w:hint="eastAsia"/>
        </w:rPr>
        <w:t>支防汛队伍计</w:t>
      </w:r>
      <w:r>
        <w:t>253</w:t>
      </w:r>
      <w:r>
        <w:rPr>
          <w:rFonts w:hint="eastAsia"/>
        </w:rPr>
        <w:t>人，配备防汛水管</w:t>
      </w:r>
      <w:r>
        <w:t>3700</w:t>
      </w:r>
      <w:r>
        <w:rPr>
          <w:rFonts w:hint="eastAsia"/>
        </w:rPr>
        <w:t>米、沙</w:t>
      </w:r>
      <w:r>
        <w:t>423</w:t>
      </w:r>
      <w:r>
        <w:rPr>
          <w:rFonts w:hint="eastAsia"/>
        </w:rPr>
        <w:t>方、编织袋计</w:t>
      </w:r>
      <w:r>
        <w:t>1.3</w:t>
      </w:r>
      <w:r>
        <w:rPr>
          <w:rFonts w:hint="eastAsia"/>
        </w:rPr>
        <w:t>万条，麻袋</w:t>
      </w:r>
      <w:r>
        <w:t>2</w:t>
      </w:r>
      <w:r>
        <w:rPr>
          <w:rFonts w:hint="eastAsia"/>
        </w:rPr>
        <w:t>万条，水泵</w:t>
      </w:r>
      <w:r>
        <w:t>27</w:t>
      </w:r>
      <w:r>
        <w:rPr>
          <w:rFonts w:hint="eastAsia"/>
        </w:rPr>
        <w:t>台（套）等。同时，按照全县安排部署，紧急采购应急救灾物资</w:t>
      </w:r>
      <w:r>
        <w:t>3</w:t>
      </w:r>
      <w:r>
        <w:rPr>
          <w:rFonts w:hint="eastAsia"/>
        </w:rPr>
        <w:t>大类</w:t>
      </w:r>
      <w:r>
        <w:t>29</w:t>
      </w:r>
      <w:r>
        <w:rPr>
          <w:rFonts w:hint="eastAsia"/>
        </w:rPr>
        <w:t>种</w:t>
      </w:r>
      <w:r>
        <w:t>4504</w:t>
      </w:r>
      <w:r>
        <w:rPr>
          <w:rFonts w:hint="eastAsia"/>
        </w:rPr>
        <w:t>件</w:t>
      </w:r>
      <w:r>
        <w:t>/</w:t>
      </w:r>
      <w:r>
        <w:rPr>
          <w:rFonts w:hint="eastAsia"/>
        </w:rPr>
        <w:t>套，已到位</w:t>
      </w:r>
      <w:r>
        <w:t>70%</w:t>
      </w:r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r>
        <w:rPr>
          <w:rFonts w:hint="eastAsia"/>
        </w:rPr>
        <w:t>扎实做好价格收费管理工作，持续开展汛期、疫情期间价格日监测工作。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二、存在问题</w:t>
      </w:r>
    </w:p>
    <w:p>
      <w:pPr>
        <w:ind w:firstLine="643"/>
      </w:pPr>
      <w:r>
        <w:rPr>
          <w:rFonts w:hint="eastAsia"/>
          <w:b/>
          <w:bCs/>
        </w:rPr>
        <w:t>一是</w:t>
      </w:r>
      <w:r>
        <w:rPr>
          <w:rFonts w:hint="eastAsia"/>
        </w:rPr>
        <w:t>发展后劲不足。招大引强力度不够，缺少投资大、效益好、带动强的优质项目；</w:t>
      </w:r>
      <w:r>
        <w:rPr>
          <w:rFonts w:hint="eastAsia"/>
          <w:b/>
          <w:bCs/>
        </w:rPr>
        <w:t>二是</w:t>
      </w:r>
      <w:r>
        <w:rPr>
          <w:rFonts w:hint="eastAsia"/>
        </w:rPr>
        <w:t>项目储备不足，缺少规模以上、高新技术型工业项目，特别是“主新特”项目；</w:t>
      </w:r>
      <w:r>
        <w:rPr>
          <w:rFonts w:hint="eastAsia"/>
          <w:b/>
          <w:bCs/>
        </w:rPr>
        <w:t>三是</w:t>
      </w:r>
      <w:r>
        <w:rPr>
          <w:rFonts w:hint="eastAsia"/>
        </w:rPr>
        <w:t>项目统计入库率较低。</w:t>
      </w:r>
      <w:r>
        <w:t>70</w:t>
      </w:r>
      <w:r>
        <w:rPr>
          <w:rFonts w:hint="eastAsia"/>
        </w:rPr>
        <w:t>个市级考评项目</w:t>
      </w:r>
      <w:r>
        <w:t>12</w:t>
      </w:r>
      <w:r>
        <w:rPr>
          <w:rFonts w:hint="eastAsia"/>
        </w:rPr>
        <w:t>个未入库，</w:t>
      </w:r>
      <w:r>
        <w:t>4</w:t>
      </w:r>
      <w:r>
        <w:rPr>
          <w:rFonts w:hint="eastAsia"/>
        </w:rPr>
        <w:t>个第二批省重点项目未入库，</w:t>
      </w:r>
      <w:r>
        <w:t>58</w:t>
      </w:r>
      <w:r>
        <w:rPr>
          <w:rFonts w:hint="eastAsia"/>
        </w:rPr>
        <w:t>个前三季度集中开工项目</w:t>
      </w:r>
      <w:r>
        <w:t>27</w:t>
      </w:r>
      <w:r>
        <w:rPr>
          <w:rFonts w:hint="eastAsia"/>
        </w:rPr>
        <w:t>个未入库；</w:t>
      </w:r>
      <w:r>
        <w:rPr>
          <w:rFonts w:hint="eastAsia"/>
          <w:b/>
          <w:bCs/>
        </w:rPr>
        <w:t>四是</w:t>
      </w:r>
      <w:r>
        <w:rPr>
          <w:rFonts w:hint="eastAsia"/>
        </w:rPr>
        <w:t>项目建设进展不平衡，项目实际完成投资额较低，与上报数据差距较大；个别项目因土地、资金等问题，未实质性开工建设。</w:t>
      </w:r>
    </w:p>
    <w:p>
      <w:r>
        <w:rPr>
          <w:rFonts w:hint="eastAsia" w:ascii="黑体" w:hAnsi="黑体" w:eastAsia="黑体" w:cs="黑体"/>
        </w:rPr>
        <w:t>三、下步措施</w:t>
      </w:r>
    </w:p>
    <w:p>
      <w:r>
        <w:rPr>
          <w:rFonts w:hint="eastAsia" w:ascii="楷体_GB2312" w:eastAsia="楷体_GB2312"/>
          <w:bCs/>
        </w:rPr>
        <w:t>（一）强化项目谋划招引</w:t>
      </w:r>
      <w:r>
        <w:rPr>
          <w:rFonts w:hint="eastAsia" w:ascii="楷体_GB2312" w:eastAsia="楷体_GB2312"/>
          <w:b/>
          <w:bCs/>
        </w:rPr>
        <w:t>。</w:t>
      </w:r>
      <w:r>
        <w:rPr>
          <w:rFonts w:hint="eastAsia"/>
        </w:rPr>
        <w:t>紧扣“主新特”产业布局，围绕延链补链强链，谋划出产业招商图谱，开展精准招商；认真贯彻落实习</w:t>
      </w:r>
      <w:r>
        <w:rPr>
          <w:rFonts w:hint="eastAsia"/>
          <w:lang w:val="en-US" w:eastAsia="zh-CN"/>
        </w:rPr>
        <w:t>近平</w:t>
      </w:r>
      <w:r>
        <w:rPr>
          <w:rFonts w:hint="eastAsia"/>
        </w:rPr>
        <w:t>总书记视察调研南阳重要讲话和指示精神，主动对接国家、省“十四五”规划、省级专项规划，立足京津冀、长三角、珠三角、“一带一路”等区域，瞄准国际国内</w:t>
      </w:r>
      <w:r>
        <w:t>500</w:t>
      </w:r>
      <w:r>
        <w:rPr>
          <w:rFonts w:hint="eastAsia"/>
        </w:rPr>
        <w:t>强、行业领军企业、知名企业开</w:t>
      </w:r>
      <w:bookmarkStart w:id="0" w:name="_GoBack"/>
      <w:bookmarkEnd w:id="0"/>
      <w:r>
        <w:rPr>
          <w:rFonts w:hint="eastAsia"/>
        </w:rPr>
        <w:t>展靶向招商、链式招商、以商招商，探索产业链招商、股权招商等新模式，积极调动园区企业、行业协会及中介组织积极性，充分发挥百人招商团队、驻外办事机构和招商引资服务联络组作用，严格落实“三个一”工作机制，发扬“六皮”精神，瞄准年度目标，招引一批技术含量高、带动能力强、发展前景好、具有蜂王效应的大项目好项目。</w:t>
      </w:r>
    </w:p>
    <w:p>
      <w:r>
        <w:rPr>
          <w:rFonts w:hint="eastAsia" w:ascii="楷体_GB2312" w:eastAsia="楷体_GB2312"/>
          <w:bCs/>
        </w:rPr>
        <w:t>（二）加快推进项目建设</w:t>
      </w:r>
      <w:r>
        <w:rPr>
          <w:rFonts w:hint="eastAsia" w:ascii="楷体_GB2312" w:eastAsia="楷体_GB2312"/>
          <w:b/>
          <w:bCs/>
        </w:rPr>
        <w:t>。</w:t>
      </w:r>
      <w:r>
        <w:rPr>
          <w:rFonts w:hint="eastAsia"/>
        </w:rPr>
        <w:t>对重点项目企业采取“分类指导、领导分包、现场办公、项目调度”等办法，帮助企业解决实际问题。针对项目建设进展不平衡问题，深入单位抓督促、亲临现场解难题，全面掌握、全力破解项目建设中存在的困难和问题，强力推进项目建设；对进展缓慢项目，重点协调解决项目建设遇到的资金、土地、环境保障等实际困难，挂图作战、倒排工期，迎头赶上。</w:t>
      </w:r>
    </w:p>
    <w:p>
      <w:r>
        <w:rPr>
          <w:rFonts w:hint="eastAsia" w:ascii="楷体_GB2312" w:eastAsia="楷体_GB2312"/>
          <w:bCs/>
        </w:rPr>
        <w:t>（三）优化提升营商环境。</w:t>
      </w:r>
      <w:r>
        <w:rPr>
          <w:rFonts w:hint="eastAsia"/>
          <w:b/>
        </w:rPr>
        <w:t>一是</w:t>
      </w:r>
      <w:r>
        <w:rPr>
          <w:rFonts w:hint="eastAsia"/>
        </w:rPr>
        <w:t>深化审批制度改革。深入推进工程建设项目审批制度改革，对标先进找差距、补短板，按照“四减一造两提”要求，努力打造审批最少、流程最优、体制最顺、机制最活、效率最高、服务最好的政务环境。</w:t>
      </w:r>
      <w:r>
        <w:rPr>
          <w:rFonts w:hint="eastAsia"/>
          <w:b/>
        </w:rPr>
        <w:t>二是</w:t>
      </w:r>
      <w:r>
        <w:rPr>
          <w:rFonts w:hint="eastAsia"/>
        </w:rPr>
        <w:t>完善推进机制。认真贯彻落实《河南省营商环境条例》，进一步减少审批环节、压缩办理时间、降低办事成本、简化申请材料、探索实施容缺办理机制等举措。健全完善重大项目协调推进领域的动态跟踪、过程督导、定期研判机制，落实“</w:t>
      </w:r>
      <w:r>
        <w:t>13710</w:t>
      </w:r>
      <w:r>
        <w:rPr>
          <w:rFonts w:hint="eastAsia"/>
        </w:rPr>
        <w:t>”工作制度、“五快一提”工作机制，扎实开展“万人助万企”活动，当好金牌“店小二”。</w:t>
      </w:r>
      <w:r>
        <w:rPr>
          <w:rFonts w:hint="eastAsia"/>
          <w:b/>
        </w:rPr>
        <w:t>三是</w:t>
      </w:r>
      <w:r>
        <w:rPr>
          <w:rFonts w:hint="eastAsia"/>
        </w:rPr>
        <w:t>积极开展“三服务三促进”活动。通过“首席服务员”“银行访千企”“金融支持就业创业”等活动，创新“惠商贷”“薯保贷”“烩面贷”等信贷产品，促进惠企政策快速显效。</w:t>
      </w:r>
    </w:p>
    <w:p>
      <w:r>
        <w:rPr>
          <w:rFonts w:hint="eastAsia" w:ascii="楷体_GB2312" w:eastAsia="楷体_GB2312"/>
          <w:bCs/>
        </w:rPr>
        <w:t>（四）强化项目督导服务。</w:t>
      </w:r>
      <w:r>
        <w:rPr>
          <w:rFonts w:hint="eastAsia"/>
          <w:b/>
        </w:rPr>
        <w:t>一是</w:t>
      </w:r>
      <w:r>
        <w:rPr>
          <w:rFonts w:hint="eastAsia"/>
        </w:rPr>
        <w:t>全面对标对表省市“四比四看”活动方案，深入开展自查自纠，找准短板弱项，进一步细化完善项目台账，制定具体时间表、路线图，确保年度目标圆满完成。</w:t>
      </w:r>
      <w:r>
        <w:rPr>
          <w:rFonts w:hint="eastAsia"/>
          <w:b/>
        </w:rPr>
        <w:t>二是</w:t>
      </w:r>
      <w:r>
        <w:rPr>
          <w:rFonts w:hint="eastAsia"/>
        </w:rPr>
        <w:t>按照“项目攻坚年”实施方案，加强对各类重点项目责任单位的督导考评，强化项目台账管理，坚持周例会、周调度、月通报、季分析、半年观摩机制，加强重点项目监控，实时掌控项目推进工作进度和推进过程中出现的问题，及时研究、协调解决。持续加大重点项目督查通报力度，采取重点督办、定期督办和不定期抽查的办法，严督实查，跟踪问效，确保各项目标任务按照时序节点高效推进。</w:t>
      </w:r>
    </w:p>
    <w:sectPr>
      <w:footerReference r:id="rId5" w:type="default"/>
      <w:pgSz w:w="11906" w:h="16838"/>
      <w:pgMar w:top="2098" w:right="1474" w:bottom="1985" w:left="1588" w:header="851" w:footer="1418" w:gutter="0"/>
      <w:pgNumType w:fmt="numberInDash"/>
      <w:cols w:space="0" w:num="1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firstLine="0" w:firstLineChars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k5ZTc1ZGJlODhiZjRjNDNjZjNhZjE4YWE3ZTg0MjUifQ=="/>
  </w:docVars>
  <w:rsids>
    <w:rsidRoot w:val="3C8D400B"/>
    <w:rsid w:val="001A44AB"/>
    <w:rsid w:val="00610ADD"/>
    <w:rsid w:val="00AF4E44"/>
    <w:rsid w:val="00B21567"/>
    <w:rsid w:val="00DE336F"/>
    <w:rsid w:val="080C2CE6"/>
    <w:rsid w:val="0EAB424B"/>
    <w:rsid w:val="14C54777"/>
    <w:rsid w:val="15A16445"/>
    <w:rsid w:val="19C3091E"/>
    <w:rsid w:val="1B3F6161"/>
    <w:rsid w:val="22DF6B2D"/>
    <w:rsid w:val="2347047C"/>
    <w:rsid w:val="29651444"/>
    <w:rsid w:val="2DFE0E8B"/>
    <w:rsid w:val="35BC3F7D"/>
    <w:rsid w:val="3C8D400B"/>
    <w:rsid w:val="407F7C70"/>
    <w:rsid w:val="411A1E9D"/>
    <w:rsid w:val="4343275D"/>
    <w:rsid w:val="4503313F"/>
    <w:rsid w:val="49857E3D"/>
    <w:rsid w:val="4AE20319"/>
    <w:rsid w:val="52344C95"/>
    <w:rsid w:val="53E80BEF"/>
    <w:rsid w:val="57D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仿宋_GB2312" w:hAnsi="仿宋_GB2312" w:eastAsia="仿宋_GB2312" w:cs="仿宋_GB2312"/>
      <w:sz w:val="18"/>
      <w:szCs w:val="18"/>
    </w:rPr>
  </w:style>
  <w:style w:type="paragraph" w:customStyle="1" w:styleId="8">
    <w:name w:val="样式1"/>
    <w:basedOn w:val="1"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2153</Words>
  <Characters>2291</Characters>
  <Lines>0</Lines>
  <Paragraphs>0</Paragraphs>
  <TotalTime>7</TotalTime>
  <ScaleCrop>false</ScaleCrop>
  <LinksUpToDate>false</LinksUpToDate>
  <CharactersWithSpaces>2291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2021-09-06T00:51:00Z</dcterms:created>
  <dc:creator>不吃草的牛</dc:creator>
  <cp:lastModifiedBy>admin</cp:lastModifiedBy>
  <dcterms:modified xsi:type="dcterms:W3CDTF">2023-01-16T09:49:26Z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C1B6E776B938465AB743EE2917DC379B</vt:lpwstr>
  </property>
</Properties>
</file>