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方城县退役军人事务局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述职报告</w:t>
      </w:r>
    </w:p>
    <w:p>
      <w:pPr>
        <w:spacing w:line="600" w:lineRule="exact"/>
        <w:ind w:firstLine="420" w:firstLineChars="200"/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月份，退役军人事务局紧扣庆祝建党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周年主题，结合党史学习教育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，全力做好退役军人服务工作，推动退役军人事务工作高质量发展。现将工作开展情况汇报如下：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一、主要工作开展情况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（一）扎实开展党史学习教育。</w:t>
      </w:r>
      <w:r>
        <w:rPr>
          <w:rFonts w:hint="eastAsia" w:ascii="仿宋_GB2312" w:eastAsia="仿宋_GB2312"/>
          <w:sz w:val="32"/>
          <w:szCs w:val="32"/>
        </w:rPr>
        <w:t>组织集中学习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次，撰写学习心得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hint="eastAsia" w:ascii="仿宋_GB2312" w:eastAsia="仿宋_GB2312"/>
          <w:sz w:val="32"/>
          <w:szCs w:val="32"/>
        </w:rPr>
        <w:t>多篇；梳理“我为群众办实事”事项，切实为退役军人办实事、办好事。组织参观县“中国共产党成立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周年”特展，在杜凤瑞烈士纪念馆开展庆祝建党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周年主题党日活动，激发全体同志干事动力。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（二）稳步推进服务保障体系建设。</w:t>
      </w:r>
      <w:r>
        <w:rPr>
          <w:rFonts w:hint="eastAsia" w:ascii="仿宋_GB2312" w:eastAsia="仿宋_GB2312"/>
          <w:sz w:val="32"/>
          <w:szCs w:val="32"/>
        </w:rPr>
        <w:t>突出以示范型退役军人服务站创建工作为抓手，通过召开动员会、工作推进会，压实责任；组织人员培训，开展督导检查，促进工作落实，今年全县剩余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个乡镇（街道）示范型服务站创建工作已全部通过市级初评。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（三）认真做实退役军人服务保障工作。</w:t>
      </w:r>
      <w:r>
        <w:rPr>
          <w:rFonts w:hint="eastAsia" w:ascii="仿宋_GB2312" w:eastAsia="仿宋_GB2312"/>
          <w:b/>
          <w:sz w:val="32"/>
          <w:szCs w:val="32"/>
        </w:rPr>
        <w:t>一是做好优抚褒扬工作。</w:t>
      </w:r>
      <w:r>
        <w:rPr>
          <w:rFonts w:hint="eastAsia" w:ascii="仿宋_GB2312" w:eastAsia="仿宋_GB2312"/>
          <w:sz w:val="32"/>
          <w:szCs w:val="32"/>
        </w:rPr>
        <w:t>上半年发放优抚补助资金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多万元；对全县</w:t>
      </w:r>
      <w:r>
        <w:rPr>
          <w:rFonts w:ascii="仿宋_GB2312" w:eastAsia="仿宋_GB2312"/>
          <w:sz w:val="32"/>
          <w:szCs w:val="32"/>
        </w:rPr>
        <w:t>1499</w:t>
      </w:r>
      <w:r>
        <w:rPr>
          <w:rFonts w:hint="eastAsia" w:ascii="仿宋_GB2312" w:eastAsia="仿宋_GB2312"/>
          <w:sz w:val="32"/>
          <w:szCs w:val="32"/>
        </w:rPr>
        <w:t>名两参对象的档案精心提取，建立电子台账；认真开展残疾等级评定专项核查工作，对全县</w:t>
      </w:r>
      <w:r>
        <w:rPr>
          <w:rFonts w:ascii="仿宋_GB2312" w:eastAsia="仿宋_GB2312"/>
          <w:sz w:val="32"/>
          <w:szCs w:val="32"/>
        </w:rPr>
        <w:t>578</w:t>
      </w:r>
      <w:r>
        <w:rPr>
          <w:rFonts w:hint="eastAsia" w:ascii="仿宋_GB2312" w:eastAsia="仿宋_GB2312"/>
          <w:sz w:val="32"/>
          <w:szCs w:val="32"/>
        </w:rPr>
        <w:t>名残疾对象的残疾等级情况进行逐一核对，完善档案。</w:t>
      </w:r>
      <w:r>
        <w:rPr>
          <w:rFonts w:hint="eastAsia" w:ascii="仿宋_GB2312" w:eastAsia="仿宋_GB2312"/>
          <w:b/>
          <w:sz w:val="32"/>
          <w:szCs w:val="32"/>
        </w:rPr>
        <w:t>二是抓好退役军人接收安置工作。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268</w:t>
      </w:r>
      <w:r>
        <w:rPr>
          <w:rFonts w:hint="eastAsia" w:ascii="仿宋_GB2312" w:eastAsia="仿宋_GB2312"/>
          <w:sz w:val="32"/>
          <w:szCs w:val="32"/>
        </w:rPr>
        <w:t>名退役士兵，发放一次性自主就业经济补助</w:t>
      </w:r>
      <w:r>
        <w:rPr>
          <w:rFonts w:ascii="仿宋_GB2312" w:eastAsia="仿宋_GB2312"/>
          <w:sz w:val="32"/>
          <w:szCs w:val="32"/>
        </w:rPr>
        <w:t>308.45</w:t>
      </w:r>
      <w:r>
        <w:rPr>
          <w:rFonts w:hint="eastAsia" w:ascii="仿宋_GB2312" w:eastAsia="仿宋_GB2312"/>
          <w:sz w:val="32"/>
          <w:szCs w:val="32"/>
        </w:rPr>
        <w:t>万元。引导未缴费退役士兵完成社保缴费，对全县近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份社保补缴文书、</w:t>
      </w:r>
      <w:r>
        <w:rPr>
          <w:rFonts w:ascii="仿宋_GB2312" w:eastAsia="仿宋_GB2312"/>
          <w:sz w:val="32"/>
          <w:szCs w:val="32"/>
        </w:rPr>
        <w:t>648</w:t>
      </w:r>
      <w:r>
        <w:rPr>
          <w:rFonts w:hint="eastAsia" w:ascii="仿宋_GB2312" w:eastAsia="仿宋_GB2312"/>
          <w:sz w:val="32"/>
          <w:szCs w:val="32"/>
        </w:rPr>
        <w:t>份社保补缴档案进行全面整理。发放企业军转干部解困补助</w:t>
      </w:r>
      <w:r>
        <w:rPr>
          <w:rFonts w:ascii="仿宋_GB2312" w:eastAsia="仿宋_GB2312"/>
          <w:sz w:val="32"/>
          <w:szCs w:val="32"/>
        </w:rPr>
        <w:t>126.7</w:t>
      </w:r>
      <w:r>
        <w:rPr>
          <w:rFonts w:hint="eastAsia" w:ascii="仿宋_GB2312" w:eastAsia="仿宋_GB2312"/>
          <w:sz w:val="32"/>
          <w:szCs w:val="32"/>
        </w:rPr>
        <w:t>万元，补发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年少划拨医保资金</w:t>
      </w:r>
      <w:r>
        <w:rPr>
          <w:rFonts w:ascii="仿宋_GB2312" w:eastAsia="仿宋_GB2312"/>
          <w:sz w:val="32"/>
          <w:szCs w:val="32"/>
        </w:rPr>
        <w:t>26000</w:t>
      </w:r>
      <w:r>
        <w:rPr>
          <w:rFonts w:hint="eastAsia" w:ascii="仿宋_GB2312" w:eastAsia="仿宋_GB2312"/>
          <w:sz w:val="32"/>
          <w:szCs w:val="32"/>
        </w:rPr>
        <w:t>元。</w:t>
      </w:r>
      <w:r>
        <w:rPr>
          <w:rFonts w:hint="eastAsia" w:ascii="仿宋_GB2312" w:eastAsia="仿宋_GB2312"/>
          <w:b/>
          <w:sz w:val="32"/>
          <w:szCs w:val="32"/>
        </w:rPr>
        <w:t>三是扎实推进就业创业工作。</w:t>
      </w:r>
      <w:r>
        <w:rPr>
          <w:rFonts w:hint="eastAsia" w:ascii="仿宋_GB2312" w:eastAsia="仿宋_GB2312"/>
          <w:sz w:val="32"/>
          <w:szCs w:val="32"/>
        </w:rPr>
        <w:t>成立退役军人就业创业促进会，举办退役军人专场招聘会，先后发布用工信息</w:t>
      </w:r>
      <w:r>
        <w:rPr>
          <w:rFonts w:ascii="仿宋_GB2312" w:eastAsia="仿宋_GB2312"/>
          <w:sz w:val="32"/>
          <w:szCs w:val="32"/>
        </w:rPr>
        <w:t>83</w:t>
      </w:r>
      <w:r>
        <w:rPr>
          <w:rFonts w:hint="eastAsia" w:ascii="仿宋_GB2312" w:eastAsia="仿宋_GB2312"/>
          <w:sz w:val="32"/>
          <w:szCs w:val="32"/>
        </w:rPr>
        <w:t>次，提供就业岗位</w:t>
      </w:r>
      <w:r>
        <w:rPr>
          <w:rFonts w:ascii="仿宋_GB2312" w:eastAsia="仿宋_GB2312"/>
          <w:sz w:val="32"/>
          <w:szCs w:val="32"/>
        </w:rPr>
        <w:t>1280</w:t>
      </w:r>
      <w:r>
        <w:rPr>
          <w:rFonts w:hint="eastAsia" w:ascii="仿宋_GB2312" w:eastAsia="仿宋_GB2312"/>
          <w:sz w:val="32"/>
          <w:szCs w:val="32"/>
        </w:rPr>
        <w:t>多个，切实为退役军人搭建就业平台，提供就业信息。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（四）广泛开展双拥共建活动。</w:t>
      </w:r>
      <w:r>
        <w:rPr>
          <w:rFonts w:hint="eastAsia" w:ascii="仿宋_GB2312" w:eastAsia="仿宋_GB2312"/>
          <w:sz w:val="32"/>
          <w:szCs w:val="32"/>
        </w:rPr>
        <w:t>投入资金约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万元，扎实开展春节、八一期间走访慰问工作。结合省级双拥模范县创建“三连冠”目标任务，召开了创建工作动员大会，七次工作推进会，有力推动创建工作落实。抽调精干人员，进行资料的收集整理，分类归纳；投入资金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多万元，在县城区营造浓郁的双拥模范县创建氛围，至目前，迎检准备工作已全部完成。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（五）全力做好涉军维稳工作。</w:t>
      </w:r>
      <w:r>
        <w:rPr>
          <w:rFonts w:hint="eastAsia" w:ascii="仿宋_GB2312" w:eastAsia="仿宋_GB2312"/>
          <w:sz w:val="32"/>
          <w:szCs w:val="32"/>
        </w:rPr>
        <w:t>今年以来共接待来访退役军人</w:t>
      </w:r>
      <w:r>
        <w:rPr>
          <w:rFonts w:ascii="仿宋_GB2312" w:eastAsia="仿宋_GB2312"/>
          <w:sz w:val="32"/>
          <w:szCs w:val="32"/>
        </w:rPr>
        <w:t>1869</w:t>
      </w:r>
      <w:r>
        <w:rPr>
          <w:rFonts w:hint="eastAsia" w:ascii="仿宋_GB2312" w:eastAsia="仿宋_GB2312"/>
          <w:sz w:val="32"/>
          <w:szCs w:val="32"/>
        </w:rPr>
        <w:t>人次，受理上访件</w:t>
      </w:r>
      <w:r>
        <w:rPr>
          <w:rFonts w:ascii="仿宋_GB2312" w:eastAsia="仿宋_GB2312"/>
          <w:sz w:val="32"/>
          <w:szCs w:val="32"/>
        </w:rPr>
        <w:t>67</w:t>
      </w:r>
      <w:r>
        <w:rPr>
          <w:rFonts w:hint="eastAsia" w:ascii="仿宋_GB2312" w:eastAsia="仿宋_GB2312"/>
          <w:sz w:val="32"/>
          <w:szCs w:val="32"/>
        </w:rPr>
        <w:t>件，办理网上信访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件，市局转信访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件，县信访局转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件，自办信访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件。稳控人员</w:t>
      </w:r>
      <w:r>
        <w:rPr>
          <w:rFonts w:ascii="仿宋_GB2312" w:eastAsia="仿宋_GB2312"/>
          <w:sz w:val="32"/>
          <w:szCs w:val="32"/>
        </w:rPr>
        <w:t>41</w:t>
      </w:r>
      <w:r>
        <w:rPr>
          <w:rFonts w:hint="eastAsia" w:ascii="仿宋_GB2312" w:eastAsia="仿宋_GB2312"/>
          <w:sz w:val="32"/>
          <w:szCs w:val="32"/>
        </w:rPr>
        <w:t>人，劝返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人次，其中京访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人，省访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人。持续加大对涉军群体的稳控，深入细致对退役军人历年积案和遗留问题进行排查，对重点人员进行梳理，完善稳控方案，确保了建党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周年大庆期间，我县未发生退役军人赴京进省上访事件。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（六）突出教育引领，传承红色基因。</w:t>
      </w:r>
      <w:r>
        <w:rPr>
          <w:rFonts w:hint="eastAsia" w:ascii="仿宋_GB2312" w:eastAsia="仿宋_GB2312"/>
          <w:sz w:val="32"/>
          <w:szCs w:val="32"/>
        </w:rPr>
        <w:t>结合党史学习教育，投入资金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多万元，对杜凤瑞烈士纪念馆进行升级改造，新修建纪念馆大门，改建千人广场，扩建纪念馆，使纪念馆整体面貌焕然一新，成为集教育、休闲、娱乐为一体的红色主题公园。投入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多万元筹建的红二十五军鏖战独树镇纪念馆已全部竣工，目前已全面对外开放。党史学习教育开展以来，我县两个烈士纪念设施共接待党政机关，学校，企事业等单位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多个，约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万人次，对培育和践行社会主义核心价值观、增强中华民族的凝聚力、激发实现中华民族伟大复兴中国梦的强大精神力量具有重要意义。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二、工作中存在问题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退役军人事务系统自身还存在短板和弱项，部分人员只注重业务性和事务性工作，对退役军人工作的政治站位还不够高，老思想、老思维依然存在；部分人员业务不熟练，对退役军人的服务意识不够强，完成各项任务的质量、标准还需进一步提升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退役军人服务保障体系建设不完善。示范型退役军人服务中心（站）创建工作整体质量不够高，各乡镇（街道）服务站创建工作进度不一，建设和服务水平参差不齐，服务站作用还没有得到很好的发挥。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涉军信访形势依然严峻。我县涉军群体基本稳定，但稳定的基础还不够牢固，信访活跃人员多，历史遗留问题解决难，特别是正在开展的“两参”人员身份认定等重点工作还存在较大风险隐患，加之近期汛情和疫情影响，部分生活困难退役军人思想不稳定，容易造成新的上访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三、下步工作安排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（一）统筹推进退役军人服务保障体系建设。</w:t>
      </w:r>
      <w:r>
        <w:rPr>
          <w:rFonts w:hint="eastAsia" w:ascii="仿宋_GB2312" w:eastAsia="仿宋_GB2312"/>
          <w:sz w:val="32"/>
          <w:szCs w:val="32"/>
        </w:rPr>
        <w:t>进一步提升县退役军人服务中心，乡镇（街道）、村（社区）退役军人服务站标准化建设能力，力争每个乡镇（街道）服务站建设达到省级示范型退役军人服务站建设标准；开展退役军人服务专干业务培训，提高服务水平，努力将退役军人服务中心（站）建设成服务管理规范的退役军人之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（二）优化工作机制，提升安置质量。</w:t>
      </w:r>
      <w:r>
        <w:rPr>
          <w:rFonts w:hint="eastAsia" w:ascii="仿宋_GB2312" w:eastAsia="仿宋_GB2312"/>
          <w:sz w:val="32"/>
          <w:szCs w:val="32"/>
        </w:rPr>
        <w:t>按要求做好军转干部和随调随迁家属安置工作；对符合安置政策的转业士官，采取量化积分排名的方式进行排序选岗，把“阳光安置”落到实处。完成年度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名军转干部、</w:t>
      </w:r>
      <w:r>
        <w:rPr>
          <w:rFonts w:ascii="仿宋_GB2312" w:eastAsia="仿宋_GB2312"/>
          <w:sz w:val="32"/>
          <w:szCs w:val="32"/>
        </w:rPr>
        <w:t>58</w:t>
      </w:r>
      <w:r>
        <w:rPr>
          <w:rFonts w:hint="eastAsia" w:ascii="仿宋_GB2312" w:eastAsia="仿宋_GB2312"/>
          <w:sz w:val="32"/>
          <w:szCs w:val="32"/>
        </w:rPr>
        <w:t>名退役军人安置任务。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（三）持续推进双拥创建工作。</w:t>
      </w:r>
      <w:r>
        <w:rPr>
          <w:rFonts w:hint="eastAsia" w:ascii="仿宋_GB2312" w:eastAsia="仿宋_GB2312"/>
          <w:sz w:val="32"/>
          <w:szCs w:val="32"/>
        </w:rPr>
        <w:t>高标准迎接省厅双拥创建考评验收，细化量化工作任务，提高创建工作质量；组织开展好“最美退役军人”和“最美拥军人物”评选活动；建立健全现役军人家庭及退役军人困难帮扶机制，切实帮助解决实际困难；建立完善军地互提要求、互办实事“双清单”制度，积极帮助部队解决实际困难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（四）努力提高优抚保障水平。</w:t>
      </w:r>
      <w:r>
        <w:rPr>
          <w:rFonts w:hint="eastAsia" w:ascii="仿宋_GB2312" w:eastAsia="仿宋_GB2312"/>
          <w:sz w:val="32"/>
          <w:szCs w:val="32"/>
        </w:rPr>
        <w:t>做好参战参试等人员身份精准核查认定工作；全面完成伤残军人换证工作；落实优抚医疗保障办法和医疗救助政策，着力解决重点优抚对象医疗困难；关心关爱生活困难退役军人，加大对遇到特殊困难的退役军人和其他优抚对象帮扶关爱工作力度，确保困难退役军人和其他优抚对象家庭生活水平稳步提升；严密组织好“</w:t>
      </w:r>
      <w:r>
        <w:rPr>
          <w:rFonts w:ascii="仿宋_GB2312" w:eastAsia="仿宋_GB2312"/>
          <w:sz w:val="32"/>
          <w:szCs w:val="32"/>
        </w:rPr>
        <w:t>9.30</w:t>
      </w:r>
      <w:r>
        <w:rPr>
          <w:rFonts w:hint="eastAsia" w:ascii="仿宋_GB2312" w:eastAsia="仿宋_GB2312"/>
          <w:sz w:val="32"/>
          <w:szCs w:val="32"/>
        </w:rPr>
        <w:t>”烈士公祭活动。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（五）扎实做好涉军维稳工作。</w:t>
      </w:r>
      <w:r>
        <w:rPr>
          <w:rFonts w:hint="eastAsia" w:ascii="仿宋_GB2312" w:eastAsia="仿宋_GB2312"/>
          <w:sz w:val="32"/>
          <w:szCs w:val="32"/>
        </w:rPr>
        <w:t>结合建党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周年维稳工作要求，认真梳理各类涉军群体重点人员，严格落实“四定四包”责任。完善常态化联系退役军人台账，提高走访慰问摸排频次，及时收集退役军人诉求，定期分析研判退役军人稳定形势，畅通信访渠道，及时受理、回复网上信访事项，力争把矛盾化解在基层，化解在萌芽状态。</w:t>
      </w:r>
    </w:p>
    <w:p>
      <w:pPr>
        <w:spacing w:line="600" w:lineRule="exact"/>
        <w:ind w:firstLine="420" w:firstLineChars="200"/>
      </w:pPr>
    </w:p>
    <w:p>
      <w:pPr>
        <w:spacing w:line="600" w:lineRule="exact"/>
        <w:ind w:firstLine="200"/>
      </w:pPr>
    </w:p>
    <w:sectPr>
      <w:footerReference r:id="rId3" w:type="default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k5ZTc1ZGJlODhiZjRjNDNjZjNhZjE4YWE3ZTg0MjUifQ=="/>
  </w:docVars>
  <w:rsids>
    <w:rsidRoot w:val="02597EBE"/>
    <w:rsid w:val="000046CE"/>
    <w:rsid w:val="000A4B66"/>
    <w:rsid w:val="00152613"/>
    <w:rsid w:val="00212A68"/>
    <w:rsid w:val="00284135"/>
    <w:rsid w:val="005840D4"/>
    <w:rsid w:val="006118CA"/>
    <w:rsid w:val="00637E02"/>
    <w:rsid w:val="00705E7A"/>
    <w:rsid w:val="00C51E65"/>
    <w:rsid w:val="02597EBE"/>
    <w:rsid w:val="02AF7D0C"/>
    <w:rsid w:val="03044E50"/>
    <w:rsid w:val="03AF732A"/>
    <w:rsid w:val="04102353"/>
    <w:rsid w:val="04174FBD"/>
    <w:rsid w:val="0490058A"/>
    <w:rsid w:val="05256187"/>
    <w:rsid w:val="05AE5AFF"/>
    <w:rsid w:val="05BA0979"/>
    <w:rsid w:val="05EC1081"/>
    <w:rsid w:val="067F69D9"/>
    <w:rsid w:val="06DD5C97"/>
    <w:rsid w:val="07D63533"/>
    <w:rsid w:val="08B72263"/>
    <w:rsid w:val="0A3306C5"/>
    <w:rsid w:val="0A3E031F"/>
    <w:rsid w:val="0A42515F"/>
    <w:rsid w:val="0AD06BF6"/>
    <w:rsid w:val="0B9C48F5"/>
    <w:rsid w:val="0BAC3602"/>
    <w:rsid w:val="0CED388E"/>
    <w:rsid w:val="14F471A6"/>
    <w:rsid w:val="14F97D05"/>
    <w:rsid w:val="15AE07AE"/>
    <w:rsid w:val="15FC2E68"/>
    <w:rsid w:val="17DA796A"/>
    <w:rsid w:val="18B44E5E"/>
    <w:rsid w:val="18D542AA"/>
    <w:rsid w:val="192C514E"/>
    <w:rsid w:val="19944F55"/>
    <w:rsid w:val="1AA40407"/>
    <w:rsid w:val="1B047971"/>
    <w:rsid w:val="1C8742F4"/>
    <w:rsid w:val="1DD3489D"/>
    <w:rsid w:val="1EEF5027"/>
    <w:rsid w:val="1F013760"/>
    <w:rsid w:val="1F24281A"/>
    <w:rsid w:val="201E5F93"/>
    <w:rsid w:val="20272108"/>
    <w:rsid w:val="214767CB"/>
    <w:rsid w:val="21FA0884"/>
    <w:rsid w:val="22B716ED"/>
    <w:rsid w:val="23454E65"/>
    <w:rsid w:val="23AE0642"/>
    <w:rsid w:val="23C9390D"/>
    <w:rsid w:val="23E860D3"/>
    <w:rsid w:val="24F5034D"/>
    <w:rsid w:val="25183277"/>
    <w:rsid w:val="271E5677"/>
    <w:rsid w:val="27852BA9"/>
    <w:rsid w:val="278E4D15"/>
    <w:rsid w:val="284973DF"/>
    <w:rsid w:val="2A811EEB"/>
    <w:rsid w:val="2A860A4A"/>
    <w:rsid w:val="2AF65EDA"/>
    <w:rsid w:val="2C1617AF"/>
    <w:rsid w:val="2C3A4E38"/>
    <w:rsid w:val="2CEA59B8"/>
    <w:rsid w:val="2D5B528B"/>
    <w:rsid w:val="2D9E1D69"/>
    <w:rsid w:val="2DFE565C"/>
    <w:rsid w:val="2E0215C3"/>
    <w:rsid w:val="30FB2753"/>
    <w:rsid w:val="31045B0B"/>
    <w:rsid w:val="31566C6B"/>
    <w:rsid w:val="31CD0715"/>
    <w:rsid w:val="32414793"/>
    <w:rsid w:val="32635995"/>
    <w:rsid w:val="32C52582"/>
    <w:rsid w:val="35071169"/>
    <w:rsid w:val="350B6864"/>
    <w:rsid w:val="35991E6D"/>
    <w:rsid w:val="366B4089"/>
    <w:rsid w:val="368044DC"/>
    <w:rsid w:val="37085E3B"/>
    <w:rsid w:val="381F1560"/>
    <w:rsid w:val="38735442"/>
    <w:rsid w:val="38B44998"/>
    <w:rsid w:val="39C41B7B"/>
    <w:rsid w:val="3B331F97"/>
    <w:rsid w:val="3C0A2EB4"/>
    <w:rsid w:val="3C333045"/>
    <w:rsid w:val="3EA31797"/>
    <w:rsid w:val="3F5F4B93"/>
    <w:rsid w:val="3F6625D7"/>
    <w:rsid w:val="3FD5675A"/>
    <w:rsid w:val="3FE059E2"/>
    <w:rsid w:val="402D448B"/>
    <w:rsid w:val="40AB79D6"/>
    <w:rsid w:val="42CD55AD"/>
    <w:rsid w:val="42DA2683"/>
    <w:rsid w:val="42FB15C7"/>
    <w:rsid w:val="44D07BE3"/>
    <w:rsid w:val="45B602A0"/>
    <w:rsid w:val="47921F02"/>
    <w:rsid w:val="480C0FCA"/>
    <w:rsid w:val="490F63D7"/>
    <w:rsid w:val="4963503E"/>
    <w:rsid w:val="4A462D66"/>
    <w:rsid w:val="4BA37DC4"/>
    <w:rsid w:val="4BD2369F"/>
    <w:rsid w:val="4C1B11E3"/>
    <w:rsid w:val="4E20416C"/>
    <w:rsid w:val="4E34138F"/>
    <w:rsid w:val="4EF65426"/>
    <w:rsid w:val="4F685388"/>
    <w:rsid w:val="4FD3428F"/>
    <w:rsid w:val="4FF63E85"/>
    <w:rsid w:val="515067B0"/>
    <w:rsid w:val="52A03B82"/>
    <w:rsid w:val="561B4A35"/>
    <w:rsid w:val="583A656B"/>
    <w:rsid w:val="584E41F7"/>
    <w:rsid w:val="587951D0"/>
    <w:rsid w:val="5B4D6BCB"/>
    <w:rsid w:val="5C5623A2"/>
    <w:rsid w:val="5CA56E72"/>
    <w:rsid w:val="5CDD153C"/>
    <w:rsid w:val="5D884B62"/>
    <w:rsid w:val="5E0B5AFA"/>
    <w:rsid w:val="5E112AF3"/>
    <w:rsid w:val="5E742A89"/>
    <w:rsid w:val="5F023932"/>
    <w:rsid w:val="5F0E06F2"/>
    <w:rsid w:val="60FD0C2A"/>
    <w:rsid w:val="61320F37"/>
    <w:rsid w:val="61C74372"/>
    <w:rsid w:val="61CD6E3F"/>
    <w:rsid w:val="639E4DEC"/>
    <w:rsid w:val="64D64DA3"/>
    <w:rsid w:val="673B2482"/>
    <w:rsid w:val="67474C5A"/>
    <w:rsid w:val="69453033"/>
    <w:rsid w:val="69860C61"/>
    <w:rsid w:val="69F71CF3"/>
    <w:rsid w:val="6BF41668"/>
    <w:rsid w:val="6C736D52"/>
    <w:rsid w:val="6D62409C"/>
    <w:rsid w:val="6EB74421"/>
    <w:rsid w:val="6ED50495"/>
    <w:rsid w:val="6F9345F3"/>
    <w:rsid w:val="70812170"/>
    <w:rsid w:val="70CA3233"/>
    <w:rsid w:val="711045E7"/>
    <w:rsid w:val="713E6BB8"/>
    <w:rsid w:val="71F44C76"/>
    <w:rsid w:val="720B12A3"/>
    <w:rsid w:val="731E4D56"/>
    <w:rsid w:val="762E49B5"/>
    <w:rsid w:val="76C82701"/>
    <w:rsid w:val="76E31FC3"/>
    <w:rsid w:val="7AEA41D2"/>
    <w:rsid w:val="7FE46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 w:line="600" w:lineRule="exact"/>
      <w:ind w:firstLine="632" w:firstLineChars="200"/>
    </w:pPr>
    <w:rPr>
      <w:rFonts w:eastAsia="仿宋_GB2312"/>
      <w:sz w:val="32"/>
    </w:rPr>
  </w:style>
  <w:style w:type="paragraph" w:styleId="3">
    <w:name w:val="Body Text Indent"/>
    <w:basedOn w:val="1"/>
    <w:link w:val="15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next w:val="1"/>
    <w:link w:val="18"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uiPriority w:val="99"/>
    <w:rPr>
      <w:rFonts w:cs="Times New Roman"/>
      <w:color w:val="000000"/>
      <w:u w:val="none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Body Text Char"/>
    <w:basedOn w:val="9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Body Text Indent Char"/>
    <w:basedOn w:val="9"/>
    <w:link w:val="3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Footer Char"/>
    <w:basedOn w:val="9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eader Char"/>
    <w:basedOn w:val="9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Body Text First Indent 2 Char"/>
    <w:basedOn w:val="15"/>
    <w:link w:val="7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2287</Words>
  <Characters>2359</Characters>
  <Lines>0</Lines>
  <Paragraphs>0</Paragraphs>
  <TotalTime>0</TotalTime>
  <ScaleCrop>false</ScaleCrop>
  <LinksUpToDate>false</LinksUpToDate>
  <CharactersWithSpaces>2359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2021-06-21T07:43:00Z</dcterms:created>
  <dc:creator>swj</dc:creator>
  <cp:lastModifiedBy>admin</cp:lastModifiedBy>
  <cp:lastPrinted>2021-09-03T01:01:00Z</cp:lastPrinted>
  <dcterms:modified xsi:type="dcterms:W3CDTF">2023-01-16T09:52:41Z</dcterms:modified>
  <dc:title>方城县退役军人事务局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01E1F8463C1B4A77AF84E71992958122</vt:lpwstr>
  </property>
</Properties>
</file>