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微软雅黑" w:hAnsi="微软雅黑" w:eastAsia="微软雅黑" w:cs="微软雅黑"/>
          <w:i w:val="0"/>
          <w:iCs w:val="0"/>
          <w:caps w:val="0"/>
          <w:color w:val="333333"/>
          <w:spacing w:val="0"/>
          <w:kern w:val="0"/>
          <w:sz w:val="36"/>
          <w:szCs w:val="36"/>
          <w:shd w:val="clear" w:fill="FFFFFF"/>
          <w:lang w:val="en-US" w:eastAsia="zh-CN" w:bidi="ar"/>
        </w:rPr>
      </w:pPr>
      <w:bookmarkStart w:id="0" w:name="_GoBack"/>
      <w:r>
        <w:rPr>
          <w:rFonts w:hint="eastAsia" w:ascii="微软雅黑" w:hAnsi="微软雅黑" w:eastAsia="微软雅黑" w:cs="微软雅黑"/>
          <w:i w:val="0"/>
          <w:iCs w:val="0"/>
          <w:caps w:val="0"/>
          <w:color w:val="333333"/>
          <w:spacing w:val="0"/>
          <w:kern w:val="0"/>
          <w:sz w:val="36"/>
          <w:szCs w:val="36"/>
          <w:shd w:val="clear" w:fill="FFFFFF"/>
          <w:lang w:val="en-US" w:eastAsia="zh-CN" w:bidi="ar"/>
        </w:rPr>
        <w:t>关于对</w:t>
      </w:r>
      <w:r>
        <w:rPr>
          <w:rFonts w:hint="eastAsia" w:ascii="微软雅黑" w:hAnsi="微软雅黑" w:eastAsia="微软雅黑" w:cs="微软雅黑"/>
          <w:i w:val="0"/>
          <w:iCs w:val="0"/>
          <w:caps w:val="0"/>
          <w:color w:val="333333"/>
          <w:spacing w:val="0"/>
          <w:kern w:val="0"/>
          <w:sz w:val="36"/>
          <w:szCs w:val="36"/>
          <w:shd w:val="clear" w:fill="FFFFFF"/>
          <w:lang w:val="en-US" w:eastAsia="zh-CN" w:bidi="ar"/>
        </w:rPr>
        <w:t>方城县房屋征收拆迁管理办法的政策解读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《方城县房屋征收拆迁管理办法</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》（以下简称《办法》）将于</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202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年</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月</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起正式施行，现将《办法》的有关规定解读如下：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一、《办法》出台背景和意义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中华人民共和国土地管理法》《中华人民共和国土地管理法实施条例》《国有土地上房屋征收与补偿条例》《国有土地上房屋征收评估办法》等法律法规规定，制定本办法，《办法》将进一步规范国有土地上房屋征收与补偿活动，保障被征收房屋所有权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二、《办法》的主要特点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办法》依据《土地管理法》、《土地管理法实施条例》、国务院办公厅《关于进一步严格征地拆迁管理工作切实维护群众合法权益》的紧急通知（国办发〔2010〕15号）、国土资源部关于印发《关于完善征地补偿安置制度的指导意见》的通知 (国土资发〔2004〕238号)、国土资源部《关于进一步做好征地管理工作》的通知（国土资发〔2010〕96号），《办法》重在解决实际问题，突出监督管理，规范征收行为。《办法》主要特点：</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一是</w:t>
      </w:r>
      <w:r>
        <w:rPr>
          <w:rFonts w:hint="eastAsia" w:ascii="微软雅黑" w:hAnsi="微软雅黑" w:eastAsia="微软雅黑" w:cs="微软雅黑"/>
          <w:i w:val="0"/>
          <w:iCs w:val="0"/>
          <w:caps w:val="0"/>
          <w:color w:val="333333"/>
          <w:spacing w:val="0"/>
          <w:sz w:val="24"/>
          <w:szCs w:val="24"/>
          <w:bdr w:val="none" w:color="auto" w:sz="0" w:space="0"/>
          <w:shd w:val="clear" w:fill="FFFFFF"/>
        </w:rPr>
        <w:t>把分散在各个法律、法规、政策中涉及集体土地征收的程序、标准、监督、管理集中融合在一起，制定专门的《办法》，具有较强的操作性。二是突出管理和具体实施征收行为分开，强化监督征收行为。三是将土地征收在程序上细化、标准是明确、管理上规范、监督上具体，突出了征收拆迁的公开透明性，实现</w:t>
      </w:r>
      <w:r>
        <w:rPr>
          <w:rFonts w:hint="eastAsia" w:ascii="微软雅黑" w:hAnsi="微软雅黑" w:eastAsia="微软雅黑" w:cs="微软雅黑"/>
          <w:i w:val="0"/>
          <w:iCs w:val="0"/>
          <w:caps w:val="0"/>
          <w:color w:val="333333"/>
          <w:spacing w:val="0"/>
          <w:sz w:val="24"/>
          <w:szCs w:val="24"/>
          <w:shd w:val="clear" w:fill="FFFFFF"/>
        </w:rPr>
        <w:t>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三、《办法》的主要内容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bdr w:val="none" w:color="auto" w:sz="0" w:space="0"/>
          <w:shd w:val="clear" w:fill="FFFFFF"/>
        </w:rPr>
        <w:t>《办法》共</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二十五</w:t>
      </w:r>
      <w:r>
        <w:rPr>
          <w:rFonts w:hint="eastAsia" w:ascii="微软雅黑" w:hAnsi="微软雅黑" w:eastAsia="微软雅黑" w:cs="微软雅黑"/>
          <w:i w:val="0"/>
          <w:iCs w:val="0"/>
          <w:caps w:val="0"/>
          <w:color w:val="333333"/>
          <w:spacing w:val="0"/>
          <w:sz w:val="24"/>
          <w:szCs w:val="24"/>
          <w:bdr w:val="none" w:color="auto" w:sz="0" w:space="0"/>
          <w:shd w:val="clear" w:fill="FFFFFF"/>
        </w:rPr>
        <w:t>条。明确《办法》制定法律依据、适用范围、基本原则，</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县级</w:t>
      </w:r>
      <w:r>
        <w:rPr>
          <w:rFonts w:hint="eastAsia" w:ascii="微软雅黑" w:hAnsi="微软雅黑" w:eastAsia="微软雅黑" w:cs="微软雅黑"/>
          <w:i w:val="0"/>
          <w:iCs w:val="0"/>
          <w:caps w:val="0"/>
          <w:color w:val="333333"/>
          <w:spacing w:val="0"/>
          <w:sz w:val="24"/>
          <w:szCs w:val="24"/>
          <w:bdr w:val="none" w:color="auto" w:sz="0" w:space="0"/>
          <w:shd w:val="clear" w:fill="FFFFFF"/>
        </w:rPr>
        <w:t>人民政府、职能部门及乡镇人民政府（街道办事处）在土地征收管理中各自承担的职责；规定拟征地告知书发布后，对拟征收土地权属、地类、面积，房屋用途、面积、产权人及家庭人员及地上附着物权属、种类、</w:t>
      </w:r>
      <w:r>
        <w:rPr>
          <w:rFonts w:hint="eastAsia" w:ascii="微软雅黑" w:hAnsi="微软雅黑" w:eastAsia="微软雅黑" w:cs="微软雅黑"/>
          <w:i w:val="0"/>
          <w:iCs w:val="0"/>
          <w:caps w:val="0"/>
          <w:color w:val="333333"/>
          <w:spacing w:val="0"/>
          <w:sz w:val="24"/>
          <w:szCs w:val="24"/>
          <w:shd w:val="clear" w:fill="FFFFFF"/>
        </w:rPr>
        <w:t>数量等现状进行调查，调查结果经国土资源主管部门牵头组织审核后，才能由土地征收部门和被征收人共同确认</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对拆迁补偿安置协议签订主体、费用支付、领取补偿款以及不签协议拒领补偿款时间等都作了规定</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明确</w:t>
      </w:r>
      <w:r>
        <w:rPr>
          <w:rFonts w:hint="eastAsia" w:ascii="微软雅黑" w:hAnsi="微软雅黑" w:eastAsia="微软雅黑" w:cs="微软雅黑"/>
          <w:i w:val="0"/>
          <w:iCs w:val="0"/>
          <w:caps w:val="0"/>
          <w:color w:val="333333"/>
          <w:spacing w:val="0"/>
          <w:sz w:val="24"/>
          <w:szCs w:val="24"/>
          <w:shd w:val="clear" w:fill="FFFFFF"/>
        </w:rPr>
        <w:t>被征收人</w:t>
      </w:r>
      <w:r>
        <w:rPr>
          <w:rFonts w:hint="eastAsia" w:ascii="微软雅黑" w:hAnsi="微软雅黑" w:eastAsia="微软雅黑" w:cs="微软雅黑"/>
          <w:i w:val="0"/>
          <w:iCs w:val="0"/>
          <w:caps w:val="0"/>
          <w:color w:val="333333"/>
          <w:spacing w:val="0"/>
          <w:sz w:val="24"/>
          <w:szCs w:val="24"/>
          <w:bdr w:val="none" w:color="auto" w:sz="0" w:space="0"/>
          <w:shd w:val="clear" w:fill="FFFFFF"/>
        </w:rPr>
        <w:t>生产安置和社保安置方式、程序以及如何确定被安置人员</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明确对合法建筑面积给予补偿，改</w:t>
      </w:r>
      <w:r>
        <w:rPr>
          <w:rFonts w:hint="eastAsia" w:ascii="微软雅黑" w:hAnsi="微软雅黑" w:eastAsia="微软雅黑" w:cs="微软雅黑"/>
          <w:i w:val="0"/>
          <w:iCs w:val="0"/>
          <w:caps w:val="0"/>
          <w:color w:val="333333"/>
          <w:spacing w:val="0"/>
          <w:sz w:val="24"/>
          <w:szCs w:val="24"/>
          <w:shd w:val="clear" w:fill="FFFFFF"/>
        </w:rPr>
        <w:t>变以前按实测面积进行补偿的方式，对不合法的建筑不予补偿；明确了拆迁奖励等相关事宜</w:t>
      </w:r>
      <w:r>
        <w:rPr>
          <w:rFonts w:hint="eastAsia" w:ascii="微软雅黑" w:hAnsi="微软雅黑" w:eastAsia="微软雅黑" w:cs="微软雅黑"/>
          <w:i w:val="0"/>
          <w:iCs w:val="0"/>
          <w:caps w:val="0"/>
          <w:color w:val="333333"/>
          <w:spacing w:val="0"/>
          <w:sz w:val="24"/>
          <w:szCs w:val="24"/>
          <w:shd w:val="clear" w:fill="FFFFFF"/>
          <w:lang w:eastAsia="zh-CN"/>
        </w:rPr>
        <w:t>；明确</w:t>
      </w:r>
      <w:r>
        <w:rPr>
          <w:rFonts w:hint="eastAsia" w:ascii="微软雅黑" w:hAnsi="微软雅黑" w:eastAsia="微软雅黑" w:cs="微软雅黑"/>
          <w:i w:val="0"/>
          <w:iCs w:val="0"/>
          <w:caps w:val="0"/>
          <w:color w:val="333333"/>
          <w:spacing w:val="0"/>
          <w:sz w:val="24"/>
          <w:szCs w:val="24"/>
          <w:shd w:val="clear" w:fill="FFFFFF"/>
          <w:lang w:val="en-US" w:eastAsia="zh-CN"/>
        </w:rPr>
        <w:t>纪检</w:t>
      </w:r>
      <w:r>
        <w:rPr>
          <w:rFonts w:hint="eastAsia" w:ascii="微软雅黑" w:hAnsi="微软雅黑" w:eastAsia="微软雅黑" w:cs="微软雅黑"/>
          <w:i w:val="0"/>
          <w:iCs w:val="0"/>
          <w:caps w:val="0"/>
          <w:color w:val="333333"/>
          <w:spacing w:val="0"/>
          <w:sz w:val="24"/>
          <w:szCs w:val="24"/>
          <w:shd w:val="clear" w:fill="FFFFFF"/>
        </w:rPr>
        <w:t>监察</w:t>
      </w:r>
      <w:r>
        <w:rPr>
          <w:rFonts w:hint="eastAsia" w:ascii="微软雅黑" w:hAnsi="微软雅黑" w:eastAsia="微软雅黑" w:cs="微软雅黑"/>
          <w:i w:val="0"/>
          <w:iCs w:val="0"/>
          <w:caps w:val="0"/>
          <w:color w:val="333333"/>
          <w:spacing w:val="0"/>
          <w:sz w:val="24"/>
          <w:szCs w:val="24"/>
          <w:shd w:val="clear" w:fill="FFFFFF"/>
          <w:lang w:eastAsia="zh-CN"/>
        </w:rPr>
        <w:t>部门</w:t>
      </w:r>
      <w:r>
        <w:rPr>
          <w:rFonts w:hint="eastAsia" w:ascii="微软雅黑" w:hAnsi="微软雅黑" w:eastAsia="微软雅黑" w:cs="微软雅黑"/>
          <w:i w:val="0"/>
          <w:iCs w:val="0"/>
          <w:caps w:val="0"/>
          <w:color w:val="333333"/>
          <w:spacing w:val="0"/>
          <w:sz w:val="24"/>
          <w:szCs w:val="24"/>
          <w:shd w:val="clear" w:fill="FFFFFF"/>
        </w:rPr>
        <w:t>加强对参与房屋征收与补偿工作的政府和有关部门或者单位及其工作人员的监察</w:t>
      </w:r>
      <w:r>
        <w:rPr>
          <w:rFonts w:hint="eastAsia" w:ascii="微软雅黑" w:hAnsi="微软雅黑" w:eastAsia="微软雅黑" w:cs="微软雅黑"/>
          <w:i w:val="0"/>
          <w:iCs w:val="0"/>
          <w:caps w:val="0"/>
          <w:color w:val="333333"/>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四</w:t>
      </w:r>
      <w:r>
        <w:rPr>
          <w:rFonts w:hint="eastAsia" w:ascii="微软雅黑" w:hAnsi="微软雅黑" w:eastAsia="微软雅黑" w:cs="微软雅黑"/>
          <w:i w:val="0"/>
          <w:iCs w:val="0"/>
          <w:caps w:val="0"/>
          <w:color w:val="333333"/>
          <w:spacing w:val="0"/>
          <w:sz w:val="24"/>
          <w:szCs w:val="24"/>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本政策执行期限暂定</w:t>
      </w: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年，由方城县自然资源局承担具体解释工作。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五</w:t>
      </w:r>
      <w:r>
        <w:rPr>
          <w:rFonts w:hint="eastAsia" w:ascii="微软雅黑" w:hAnsi="微软雅黑" w:eastAsia="微软雅黑" w:cs="微软雅黑"/>
          <w:i w:val="0"/>
          <w:iCs w:val="0"/>
          <w:caps w:val="0"/>
          <w:color w:val="333333"/>
          <w:spacing w:val="0"/>
          <w:sz w:val="24"/>
          <w:szCs w:val="24"/>
          <w:shd w:val="clear" w:fill="FFFFFF"/>
        </w:rPr>
        <w:t>、关键词诠释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房屋、征收拆迁、管理办法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六</w:t>
      </w:r>
      <w:r>
        <w:rPr>
          <w:rFonts w:hint="eastAsia" w:ascii="微软雅黑" w:hAnsi="微软雅黑" w:eastAsia="微软雅黑" w:cs="微软雅黑"/>
          <w:i w:val="0"/>
          <w:iCs w:val="0"/>
          <w:caps w:val="0"/>
          <w:color w:val="333333"/>
          <w:spacing w:val="0"/>
          <w:sz w:val="24"/>
          <w:szCs w:val="24"/>
          <w:shd w:val="clear" w:fill="FFFFFF"/>
        </w:rPr>
        <w:t>、解读咨询渠道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解读单位：方城县</w:t>
      </w:r>
      <w:r>
        <w:rPr>
          <w:rFonts w:hint="eastAsia" w:ascii="微软雅黑" w:hAnsi="微软雅黑" w:eastAsia="微软雅黑" w:cs="微软雅黑"/>
          <w:i w:val="0"/>
          <w:iCs w:val="0"/>
          <w:caps w:val="0"/>
          <w:color w:val="333333"/>
          <w:spacing w:val="0"/>
          <w:sz w:val="24"/>
          <w:szCs w:val="24"/>
          <w:shd w:val="clear" w:fill="FFFFFF"/>
          <w:lang w:eastAsia="zh-CN"/>
        </w:rPr>
        <w:t>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咨询电话：</w:t>
      </w:r>
      <w:r>
        <w:rPr>
          <w:rFonts w:hint="eastAsia" w:ascii="微软雅黑" w:hAnsi="微软雅黑" w:eastAsia="微软雅黑" w:cs="微软雅黑"/>
          <w:i w:val="0"/>
          <w:iCs w:val="0"/>
          <w:caps w:val="0"/>
          <w:color w:val="333333"/>
          <w:spacing w:val="0"/>
          <w:sz w:val="24"/>
          <w:szCs w:val="24"/>
          <w:shd w:val="clear" w:fill="FFFFFF"/>
          <w:lang w:val="en-US" w:eastAsia="zh-CN"/>
        </w:rPr>
        <w:t>0377-67232845</w:t>
      </w:r>
      <w:r>
        <w:rPr>
          <w:rFonts w:hint="eastAsia" w:ascii="微软雅黑" w:hAnsi="微软雅黑" w:eastAsia="微软雅黑" w:cs="微软雅黑"/>
          <w:i w:val="0"/>
          <w:iCs w:val="0"/>
          <w:caps w:val="0"/>
          <w:color w:val="333333"/>
          <w:spacing w:val="0"/>
          <w:sz w:val="24"/>
          <w:szCs w:val="24"/>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sz w:val="44"/>
          <w:szCs w:val="44"/>
          <w:lang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jAxMDkxMjMwMzYyMTU5ZjVhOTRlZTBmMjNhMTcifQ=="/>
  </w:docVars>
  <w:rsids>
    <w:rsidRoot w:val="27DB1E1E"/>
    <w:rsid w:val="27DB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2023-12-17T10:59:00Z</dcterms:created>
  <dc:creator>WPS_777271905</dc:creator>
  <cp:lastModifiedBy>WPS_777271905</cp:lastModifiedBy>
  <dcterms:modified xsi:type="dcterms:W3CDTF">2023-12-17T11:17:16Z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805A2FF5EB4444D88D325423D3FBDAAD_11</vt:lpwstr>
  </property>
</Properties>
</file>