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方城县20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年国民经济和社会发展统计公报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黑体" w:hAnsi="黑体" w:eastAsia="黑体" w:cs="宋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上下以习近平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时代中国特色社会主义思想为指导，在县委、县政府的正确领导下，坚持高质量发展方向不动摇，围绕“三个强县、两个高地、一个家园”建设目标，全面落实“疫情要防住、经济要稳住、发展要安全”的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科学统筹疫情防控和经济社会发展，全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顶住压力持续发展，经济总量再上新台阶，为建强市域副中心城市提供坚强支撑。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32" w:leftChars="60" w:firstLine="640" w:firstLineChars="200"/>
        <w:jc w:val="both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初步核算，全年全县实现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生产总值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306.8亿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元，按可比价格计算，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%。其中，第一产业增加值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59.6亿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%；第二产业增加值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97.2亿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%；第三产业增加值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150亿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%，三次产业结构比例为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19.4:31.7:48.9。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年末全县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常住人口86.14万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人，按照城乡分：城镇人口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39.06万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人，乡村人口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47.08万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常住人口城镇化率为45.35%，全年出生人口0.71万人，出生率8.21‰；死亡人口0.72万人，死亡率8.38‰。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全年居民消费价格总指数为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%，比上年上升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个百分点，其中：食品类价格指数为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%，比上年上升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个百分点；商品零售价格指数为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%，比上年上升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个百分点。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：20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333333"/>
          <w:sz w:val="32"/>
          <w:szCs w:val="32"/>
        </w:rPr>
        <w:t>年居民消费价格指数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（以上年为100）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居民消费价格指数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一、食品烟酒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粮食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鲜菜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畜肉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水产品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蛋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鲜果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二、衣着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三、居住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四、生活用品及服务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五、交通和通信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六、教育文化和娱乐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七、医疗保健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八、其他用品和服务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101.7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全年城镇新增就业人员29134人，下岗失业人员实现再就业2704人，就业困难人员实现再就业1809人，城镇登记失业率控制在4%以内。新增农村劳动力转移就业37150人，农民工返乡创业4062人，为创业人员发放小额担保贷款6994万元；开展创业培训1308人，其中返乡农民工培训人数532人；农村劳动力职业技能培训4603人，其中脱贫人口、边缘易致贫人口培训282人，发放生活补贴42300元；已脱贫人口、边缘易致贫人口居家灵活就业1753人、乡村公益性岗位安置3253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累计完成地方财政总收入163421.4万元，比上年增长45.5%，地方公共财政一般预算收入131209.4万元，比上年增长16.8%。其中，税收收入88388.3万元，比上年增长12.3%，税收占地方公共财政预算收入的比重67.4%；非税收收入42821.1万元，比上年增长27.4%。增值税完成54011.4万元，比上年增长57.3%；耕地占用税累计完成103.7万元，比上年下降98.3%；契税累计完成7413.7万元，比上年下降3.8%；烟草税累计完成1122.3万元，比上年增长59.2%；企业所得税完成7252.7万元，比上年下降2.5%；个人所得税完成1484.9万元，比上年增长18.1%。地方公共财政一般预算支出503882万元，比上年下降41.7%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480" w:firstLineChars="15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年全年粮食播种面积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公顷，其中：夏粮种植面积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8.2万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公顷，秋粮种植面积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7.9万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公顷。油料面积5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.3万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公顷，比上年减少2755.12公顷；烟叶种植面积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0.2万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公顷，比上年减少5.15公顷。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全年粮食总产量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79.4万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同比增长8.8%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。油料总产量25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.7万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下降3.3%；烟叶总产量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0.8万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增长28%；蔬菜总产量101.50万吨，增长0.9%；瓜果总产量3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.6万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下降2.1%。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全年全县肉类总产量5.7万吨，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增长0.2%。其中：禽蛋产量3.3万吨，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增长21.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%；奶产量0.3万吨，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%。全年全县猪存栏量70.4万头，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增长7.4%；猪出栏量80.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增长1.3%。牛存栏量4.8万头，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%；牛出栏量3.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增长3.1%。羊存栏量35.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增长0.9%；羊出栏量29.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下降0.3%。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全年农田有效灌溉面积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45.46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千公顷，本年新增有效灌溉面积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千公顷，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本年减少灌溉面积0.42千公顷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。水土流失综合治理面积累计达到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59.98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千公顷。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工业和建筑业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全年规模以上工业企业增加值比上年增长8.2%，其中，国有控股企业增加值比上年增长24.4%，股份制企业增加值比上年增长8.9%；轻工业增加值比上年增长-1.7%，重工业增加值比上年增长9.9%。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全年高新技术产业工业增加值比上年增长10.3%,占规模以上工业增加值的比重为74.4%。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全县规模以上工业企业实现主营业务收入同比增长17.4%；利润总额同比增长22.8%。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产业集聚区内规模以上工业企业完成主营业务收入同比增长24.3%；从业人员达到10064人，比上年增长11.3%。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全年全社会建筑业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总产值32.46亿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同比增长15.8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32" w:leftChars="60" w:firstLine="640" w:firstLineChars="200"/>
        <w:textAlignment w:val="auto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四、固定资产投资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全年固定资产投资(不含农户）比上年增长6.2%，其中，第一产业同比下降48.2%；第二产业同比增长15.6%；第三产业同比增长1.9%。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全县500万元及以上施工项目个数297个，其中亿元以上新开工项目个数110个。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全县房地产开发投资18.99亿元，比上年下降9.5%；商品房销售面积 99.9万平方米，比上年下降19.7%。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9"/>
        <w:gridCol w:w="2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Lines="5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  <w:t>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年固定资产投资完成情况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指标名称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  <w:t>比上年增长（%）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一、投资完成额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其中：工业投资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其中：房地产开发投资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-9.5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其中：基础设施投资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其中：民间投资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-3.6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1.按产业分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第一产业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-48.2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第二产业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第三产业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2.按行业分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农林牧渔业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-47.8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工业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批发和零售业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房地产业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-11.6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水利、环境和公共设施管理业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-30.8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教育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公共管理、社会保障和社会组织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50" w:firstLineChars="15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租赁和商务服务业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五、国内贸易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全年社会消费品零售总额实现16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%。分城乡看，城镇消费品零售额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109.7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sz w:val="32"/>
          <w:szCs w:val="32"/>
        </w:rPr>
        <w:t>%；农村消费品零售额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%。分行业看，批发零售贸易业零售额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213.4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53.41</w:t>
      </w:r>
      <w:r>
        <w:rPr>
          <w:rFonts w:hint="eastAsia" w:ascii="仿宋_GB2312" w:hAnsi="仿宋_GB2312" w:eastAsia="仿宋_GB2312" w:cs="仿宋_GB2312"/>
          <w:sz w:val="32"/>
          <w:szCs w:val="32"/>
        </w:rPr>
        <w:t>%；住宿餐饮业零售额25.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其中：限额以上社会消费品零售总额实现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480" w:firstLineChars="15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六、对外经济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_GB2312" w:cs="宋体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全年进出口总额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实现7.1亿元，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全年实际利用外商直接投资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万美元。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99" w:leftChars="136" w:firstLine="161" w:firstLineChars="5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七</w:t>
      </w:r>
      <w:r>
        <w:rPr>
          <w:rFonts w:hint="eastAsia" w:ascii="黑体" w:hAnsi="黑体" w:eastAsia="黑体" w:cs="宋体"/>
          <w:sz w:val="32"/>
          <w:szCs w:val="32"/>
        </w:rPr>
        <w:t>、交通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 w:cs="宋体"/>
          <w:sz w:val="32"/>
          <w:szCs w:val="32"/>
        </w:rPr>
        <w:t>旅游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公路运输完成货物周转量674486万吨公里，旅客周转量6369万人公里。全县拥有各类公路总里程3799.705公里，其中：高速公路2条75.97公里（S81、S83）；国道2条121.17公里，分别为G234兴阳线、G345启那线；省道8条207.72公里，分别为S103郑淅线、S228卫新线、S233焦桐线、S323鹿方线、S328沈卢线、S329方淅线、S526杨小线、S333新方线；县道10条211.45公里，乡道56条666.753公里，村道2042.205公里;全县公路密度为每百平方公里149.477公里;行政村通水泥（油）路率达100%，行政村通班车辐射率达100%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全年共接待境内外游客 721万人次，比上年增长42 %，社会综合收入 35.9亿元。年末全县拥有星级以上宾馆 4家,4A级旅游景区（点）3 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八、金融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年末全县金融机构各项存款余额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396.4亿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同比增长16.7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%；年末全县金融机构各项贷款余额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212.2亿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同比增长20.1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9"/>
        <w:gridCol w:w="2387"/>
        <w:gridCol w:w="26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宋体" w:hAnsi="宋体" w:cs="宋体"/>
                <w:sz w:val="32"/>
                <w:szCs w:val="3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highlight w:val="none"/>
              </w:rPr>
              <w:t>表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highlight w:val="none"/>
              </w:rPr>
              <w:t>：20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highlight w:val="none"/>
              </w:rPr>
              <w:t>年末金融机构人民币存贷款余额及增长速度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指标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年末数（亿元）</w:t>
            </w:r>
          </w:p>
        </w:tc>
        <w:tc>
          <w:tcPr>
            <w:tcW w:w="2682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比上年末增长（%）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各项存款余额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396.4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16.7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#住户存款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325.6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18.1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各项贷款余额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212.2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20.1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#住户贷款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112.4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12.7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短期贷款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40.2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13.6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中长期期贷款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72.2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12.3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宋体"/>
          <w:sz w:val="32"/>
          <w:szCs w:val="32"/>
        </w:rPr>
        <w:t>教育和科学技术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2022全县普通高中招生7570人，在校生21242人，毕业生6496人。各类中等职业教育招生2398人，在校生5760人，毕业生1043人。初中招生19449人，在校生60654人，毕业生19519人。普通小学招生13890人，在校生100031人，毕业生20301人。特殊教育 招生34人，在校生303人。学前教育在园（班、人数）29395人，学前教育入园（班、人数）6449人，离园（班、人数）14406人。2022年全县本科进线一本1837人、二本3239人。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年末共有产品质量监督检验机构2个。法定计量技术机构2个，完成强制产品认证的企业5家。全县民用三表412300块，燃油加油机 954枪，合格率100%，血压计254 台（件），合格率100%，压力表574块，合格率95.5%，燃气表 52300多块，合格率为100 %。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年末拥有国家级地震预警监测速报点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个，地电监测点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个；年末拥有省级防震减灾科普示范学校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家，市级防震减灾科普示范学校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480" w:firstLineChars="150"/>
        <w:textAlignment w:val="auto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十、文化、卫生和体育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年末拥有国有专业艺术表演团体 1个，县级文化馆 1 个、博物馆 1个、全国重点文物保护单位2 处、省级文物保护单位13 处、县级文物保护单位99处。国家级非物质文化遗产 1项，省级 3项，市级非物质文化遗产33项、县级非物质文化遗产 71项。年末拥有乡镇文化服务中心19个，村农家书屋569个，文化信息资源共享工程村级服务点569个，开展送戏下乡活动278场次，组织放映公益电影7114场。广播电台 1座，广播人口覆盖率达  100%；电视台 1座，电视综合人口覆盖率达100%，有线电视用户12760 户。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年末全县共有卫生机构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个，其中：县级公立综合医院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2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家（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方城县人民医院、方城县第二人民医院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个，妇幼保健院（所、站）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个，疾病防治控制中心（防疫站）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个，医学在职培训学校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所，卫生监督所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个，120急救指挥中心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个,计生机构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家，民营医院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家。卫生机构拥有病床床位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张，其中：县医院、中医院共计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张。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执业医师（含执业助理医师）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人，注册护士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2670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人，疾病防治控制中心（防疫站）卫生技术人员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人，妇幼保健站卫生技术人员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人。农村乡镇卫生院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个，核准床位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张，卫生技术人员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其中医师615人、护士427人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Helvetic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全县现有体育总会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个，县级单项体育协会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个，乡级协会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个，村级协会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个，行业协会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个，县老年体协分支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个，体育俱乐部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家。在南阳市全民健身大会空竹比赛中，我县代表队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取得1项第一、6项第二、3项第三，团体第三的好成绩；在南阳市体育局、教育局举办的2021年“奔跑吧少年”体育系列赛事中，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羽毛球单打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我县获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得第五名和第八名；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在南阳市2021年羽毛球锦标赛中，我县获得成人组团体二等奖。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Helvetica"/>
          <w:sz w:val="32"/>
          <w:szCs w:val="32"/>
          <w:lang w:eastAsia="zh-CN"/>
        </w:rPr>
      </w:pPr>
      <w:r>
        <w:rPr>
          <w:rFonts w:hint="eastAsia" w:ascii="黑体" w:hAnsi="黑体" w:eastAsia="黑体" w:cs="Helvetica"/>
          <w:sz w:val="32"/>
          <w:szCs w:val="32"/>
        </w:rPr>
        <w:t>十一、人民生活和社会保障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全县居民人均可支配收入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2.4万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城镇居民人均可支配收入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3.5万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%；农村居民人均可支配收入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1.7万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全年城镇居民享受最低生活保障户数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人，全年累计发放最低生活保障金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841.56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万元；农村享受低保户数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45125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64315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人，发放低保资金累计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18529.1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万元。年末拥有各类社会敬老院床位达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10325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张，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供养人数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10680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人，发放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供养资金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7178.4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万元。残疾人两项补贴制度落实进一步规范，为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30356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名残疾人发放残疾补贴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2276.97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万元。孤儿生活保障金提标到位，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为172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名孤儿发放养育金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217.69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480" w:firstLineChars="15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资源、环境和安全生产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年末已发现的矿种34种，其中：金属矿产10种，非金属矿产24种。查明资源储量的矿种共计17种，其中：金属矿产10种，非金属矿产7种。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年末总用水量16577万立方米，其中：农业用水9665万立方米，工业用水量276万立方米，生活用水量3350万立方米，人工生态环境补水量3286万立方米。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全年城市环境空气质量优良天数为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天，可吸入颗粒物PM10、细颗粒物PM2.5平均浓度分别为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微克/立方米、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微克/立方米。年末拥有污水处理场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座，日平均处理污水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4.59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万吨，年末拥有垃圾处理场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1处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，垃圾中转站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36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座，日平均处理生活垃圾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522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吨，一年按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365天算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年末共完成营造林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5.3万亩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其中造林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3.2万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亩，森林抚育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，全县特色经济林总面积23.5万亩，其中木瓜7万亩，黄金梨3.7万亩，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桃3万亩，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小杂果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万亩，形成优质林果生产基地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0余处，特色经济林产业村25个，生态观光采摘园50余个，林业总产值达到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全年未发生各类安全生产伤亡事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注：1、本公报为初步统计数据。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2、公报中生产总值、各产业增加值绝对数按现行价格计算，增长速度按可比价格计算。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3、部分数据因四舍五入的原因，存在着与分项合计不等的情况。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1280" w:firstLineChars="4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4、牵涉部门的数据来自各相关部门。</w:t>
      </w:r>
      <w:bookmarkStart w:id="0" w:name="_GoBack"/>
      <w:bookmarkEnd w:id="0"/>
    </w:p>
    <w:sectPr>
      <w:pgSz w:w="11906" w:h="16838"/>
      <w:pgMar w:top="1440" w:right="1531" w:bottom="1440" w:left="158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432D"/>
    <w:multiLevelType w:val="singleLevel"/>
    <w:tmpl w:val="0C32432D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FC0825"/>
    <w:multiLevelType w:val="singleLevel"/>
    <w:tmpl w:val="68FC08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jEzYTMxOWQyZjQ3OWE4NzRhNTcyMTIyNDJhNGMifQ=="/>
  </w:docVars>
  <w:rsids>
    <w:rsidRoot w:val="277B047A"/>
    <w:rsid w:val="01DA5D4C"/>
    <w:rsid w:val="02715B95"/>
    <w:rsid w:val="02F77E8B"/>
    <w:rsid w:val="07830B9B"/>
    <w:rsid w:val="08845EA3"/>
    <w:rsid w:val="09FD0FEC"/>
    <w:rsid w:val="0AE019D5"/>
    <w:rsid w:val="0BE9148E"/>
    <w:rsid w:val="0C2503C2"/>
    <w:rsid w:val="0D093A10"/>
    <w:rsid w:val="0D1F7247"/>
    <w:rsid w:val="12C84064"/>
    <w:rsid w:val="13CE7C39"/>
    <w:rsid w:val="1510698B"/>
    <w:rsid w:val="174221D1"/>
    <w:rsid w:val="19925BD5"/>
    <w:rsid w:val="1BFF6F14"/>
    <w:rsid w:val="1E6A3A40"/>
    <w:rsid w:val="222E10AC"/>
    <w:rsid w:val="23327BFB"/>
    <w:rsid w:val="26CB5729"/>
    <w:rsid w:val="27677991"/>
    <w:rsid w:val="277B047A"/>
    <w:rsid w:val="27C81177"/>
    <w:rsid w:val="2E3D4778"/>
    <w:rsid w:val="33407C4E"/>
    <w:rsid w:val="338D55E0"/>
    <w:rsid w:val="379A4F9C"/>
    <w:rsid w:val="3A18395D"/>
    <w:rsid w:val="3CEF40CE"/>
    <w:rsid w:val="3D3F03F7"/>
    <w:rsid w:val="3FD43C37"/>
    <w:rsid w:val="436A588D"/>
    <w:rsid w:val="43BC62BE"/>
    <w:rsid w:val="44876582"/>
    <w:rsid w:val="44D67797"/>
    <w:rsid w:val="47154E58"/>
    <w:rsid w:val="498C6E36"/>
    <w:rsid w:val="4A1F1B78"/>
    <w:rsid w:val="4A4D3AFA"/>
    <w:rsid w:val="4D7B57BF"/>
    <w:rsid w:val="4E791110"/>
    <w:rsid w:val="4F91408B"/>
    <w:rsid w:val="4FB165F1"/>
    <w:rsid w:val="51A07F50"/>
    <w:rsid w:val="528D0C23"/>
    <w:rsid w:val="55577DDB"/>
    <w:rsid w:val="55C33412"/>
    <w:rsid w:val="5E716B26"/>
    <w:rsid w:val="5FC5111D"/>
    <w:rsid w:val="613438F9"/>
    <w:rsid w:val="61F33E64"/>
    <w:rsid w:val="63C94E67"/>
    <w:rsid w:val="64357F45"/>
    <w:rsid w:val="64B45E32"/>
    <w:rsid w:val="66611F64"/>
    <w:rsid w:val="6BFE0212"/>
    <w:rsid w:val="6F7739BD"/>
    <w:rsid w:val="6FE16ED9"/>
    <w:rsid w:val="71021499"/>
    <w:rsid w:val="71CD7610"/>
    <w:rsid w:val="782B082F"/>
    <w:rsid w:val="7E53622D"/>
    <w:rsid w:val="7EA1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paragraph" w:styleId="3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customStyle="1" w:styleId="6">
    <w:name w:val="标题 Char"/>
    <w:basedOn w:val="5"/>
    <w:link w:val="3"/>
    <w:qFormat/>
    <w:uiPriority w:val="0"/>
    <w:rPr>
      <w:rFonts w:ascii="Cambria" w:hAnsi="Cambria" w:cs="Times New Roman"/>
      <w:b/>
      <w:bCs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4139</Words>
  <Characters>5187</Characters>
  <Lines>0</Lines>
  <Paragraphs>0</Paragraphs>
  <TotalTime>8</TotalTime>
  <ScaleCrop>false</ScaleCrop>
  <LinksUpToDate>false</LinksUpToDate>
  <CharactersWithSpaces>5300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2021-03-08T08:06:00Z</dcterms:created>
  <dc:creator>Administrator</dc:creator>
  <cp:lastModifiedBy>微信用户</cp:lastModifiedBy>
  <cp:lastPrinted>2022-04-21T08:37:00Z</cp:lastPrinted>
  <dcterms:modified xsi:type="dcterms:W3CDTF">2023-04-25T07:57:32Z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65000DCDB4F6468AAEB537B40C259545_13</vt:lpwstr>
  </property>
</Properties>
</file>